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5E8F3B" w14:textId="7ADC3AB9" w:rsidR="006E6820" w:rsidRPr="001B241B" w:rsidRDefault="006E6820" w:rsidP="002C056C">
      <w:pPr>
        <w:pStyle w:val="berschrift32"/>
        <w:suppressLineNumbers/>
        <w:shd w:val="clear" w:color="auto" w:fill="FFFFFF"/>
        <w:tabs>
          <w:tab w:val="left" w:pos="7740"/>
        </w:tabs>
        <w:spacing w:line="360" w:lineRule="auto"/>
        <w:ind w:left="142" w:right="1692"/>
        <w:rPr>
          <w:rFonts w:ascii="Arial" w:hAnsi="Arial" w:cs="Arial"/>
          <w:sz w:val="20"/>
          <w:szCs w:val="20"/>
        </w:rPr>
      </w:pPr>
      <w:r>
        <w:rPr>
          <w:rFonts w:ascii="Arial" w:hAnsi="Arial"/>
          <w:sz w:val="20"/>
        </w:rPr>
        <w:t>Communiqué de presse du 19/02/2024</w:t>
      </w:r>
    </w:p>
    <w:p w14:paraId="7DA9991B" w14:textId="77777777" w:rsidR="00D335FC" w:rsidRDefault="00D335FC" w:rsidP="002C056C">
      <w:pPr>
        <w:pStyle w:val="berschrift32"/>
        <w:suppressLineNumbers/>
        <w:shd w:val="clear" w:color="auto" w:fill="FFFFFF"/>
        <w:tabs>
          <w:tab w:val="left" w:pos="7740"/>
        </w:tabs>
        <w:spacing w:line="360" w:lineRule="auto"/>
        <w:ind w:left="142" w:right="1692"/>
        <w:rPr>
          <w:rFonts w:ascii="Arial" w:hAnsi="Arial" w:cs="Arial"/>
          <w:sz w:val="20"/>
          <w:szCs w:val="20"/>
        </w:rPr>
      </w:pPr>
    </w:p>
    <w:p w14:paraId="6E63965E" w14:textId="77777777" w:rsidR="006E6820" w:rsidRPr="001B241B" w:rsidRDefault="006E6820" w:rsidP="002C056C">
      <w:pPr>
        <w:suppressLineNumbers/>
        <w:ind w:left="142"/>
        <w:outlineLvl w:val="0"/>
        <w:rPr>
          <w:rFonts w:ascii="Arial" w:hAnsi="Arial" w:cs="Arial"/>
          <w:sz w:val="20"/>
          <w:szCs w:val="20"/>
        </w:rPr>
      </w:pPr>
    </w:p>
    <w:p w14:paraId="7D8C9433" w14:textId="77777777" w:rsidR="00415D03" w:rsidRPr="005A0EF1" w:rsidRDefault="008178F5" w:rsidP="002C056C">
      <w:pPr>
        <w:pStyle w:val="berschrift32"/>
        <w:suppressLineNumbers/>
        <w:shd w:val="clear" w:color="auto" w:fill="FFFFFF"/>
        <w:tabs>
          <w:tab w:val="left" w:pos="7740"/>
        </w:tabs>
        <w:spacing w:line="360" w:lineRule="auto"/>
        <w:ind w:left="142" w:right="1692"/>
        <w:rPr>
          <w:rFonts w:ascii="Arial" w:hAnsi="Arial" w:cs="Arial"/>
          <w:b w:val="0"/>
          <w:color w:val="auto"/>
          <w:sz w:val="24"/>
          <w:szCs w:val="24"/>
        </w:rPr>
      </w:pPr>
      <w:r>
        <w:rPr>
          <w:rFonts w:ascii="Arial" w:hAnsi="Arial"/>
          <w:sz w:val="24"/>
        </w:rPr>
        <w:t>INDEX Open House 2024</w:t>
      </w:r>
    </w:p>
    <w:p w14:paraId="151E52B4" w14:textId="77777777" w:rsidR="00D335FC" w:rsidRPr="00852ED2" w:rsidRDefault="00852ED2" w:rsidP="002C056C">
      <w:pPr>
        <w:suppressLineNumbers/>
        <w:spacing w:after="240" w:line="264" w:lineRule="auto"/>
        <w:ind w:left="142" w:right="-284"/>
        <w:rPr>
          <w:rFonts w:ascii="Arial" w:hAnsi="Arial" w:cs="Arial"/>
          <w:b/>
          <w:spacing w:val="-2"/>
          <w:sz w:val="32"/>
          <w:szCs w:val="32"/>
        </w:rPr>
      </w:pPr>
      <w:r>
        <w:rPr>
          <w:rFonts w:ascii="Arial" w:hAnsi="Arial"/>
          <w:b/>
          <w:sz w:val="32"/>
        </w:rPr>
        <w:t>De nouveaux locaux et de nouvelles machines</w:t>
      </w:r>
    </w:p>
    <w:p w14:paraId="475785B4" w14:textId="011AAE14" w:rsidR="005A0B98" w:rsidRDefault="00F55D70" w:rsidP="002C056C">
      <w:pPr>
        <w:spacing w:after="200" w:line="360" w:lineRule="auto"/>
        <w:ind w:left="142"/>
        <w:rPr>
          <w:rFonts w:ascii="Arial" w:eastAsiaTheme="minorHAnsi" w:hAnsi="Arial" w:cs="Arial"/>
          <w:b/>
          <w:sz w:val="20"/>
          <w:szCs w:val="20"/>
        </w:rPr>
      </w:pPr>
      <w:r>
        <w:rPr>
          <w:rFonts w:ascii="Arial" w:hAnsi="Arial"/>
          <w:b/>
          <w:sz w:val="20"/>
        </w:rPr>
        <w:t xml:space="preserve">Le désormais traditionnel évènement Open House d’INDEX aura lieu cette année pour la première fois dans le nouveau centre clientèle d’INDEX à </w:t>
      </w:r>
      <w:proofErr w:type="spellStart"/>
      <w:r>
        <w:rPr>
          <w:rFonts w:ascii="Arial" w:hAnsi="Arial"/>
          <w:b/>
          <w:sz w:val="20"/>
        </w:rPr>
        <w:t>Deizisau</w:t>
      </w:r>
      <w:proofErr w:type="spellEnd"/>
      <w:r>
        <w:rPr>
          <w:rFonts w:ascii="Arial" w:hAnsi="Arial"/>
          <w:b/>
          <w:sz w:val="20"/>
        </w:rPr>
        <w:t xml:space="preserve"> du 9 au 12 avril 2024. Les visiteurs pourront s’attendre encore une fois à un programme riche et varié cette année. Y figurent des innovations machines en pleine action, des solutions d’automatisation avec des niveaux d’équipement très divers, ainsi que des conférences spécialisées et des débats avec des experts issus des directions métiers ainsi que des experts en technologie et en automation. Une fois n’est pas coutume, les participants pourront aussi se délecter des meilleures spécialités culinaires.</w:t>
      </w:r>
    </w:p>
    <w:p w14:paraId="03B11AB8" w14:textId="77777777" w:rsidR="004F1087" w:rsidRDefault="004F1087" w:rsidP="00DB7DF8">
      <w:pPr>
        <w:spacing w:after="200" w:line="360" w:lineRule="auto"/>
        <w:ind w:left="142"/>
        <w:rPr>
          <w:rFonts w:ascii="Arial" w:eastAsiaTheme="minorHAnsi" w:hAnsi="Arial" w:cs="Arial"/>
          <w:sz w:val="20"/>
          <w:szCs w:val="20"/>
          <w:lang w:eastAsia="en-US"/>
        </w:rPr>
      </w:pPr>
    </w:p>
    <w:p w14:paraId="3C5AAD88" w14:textId="77777777" w:rsidR="00706415" w:rsidRDefault="004F1087" w:rsidP="00DB7DF8">
      <w:pPr>
        <w:spacing w:after="200" w:line="360" w:lineRule="auto"/>
        <w:ind w:left="142"/>
        <w:rPr>
          <w:rFonts w:ascii="Arial" w:eastAsiaTheme="minorHAnsi" w:hAnsi="Arial" w:cs="Arial"/>
          <w:sz w:val="20"/>
          <w:szCs w:val="20"/>
        </w:rPr>
      </w:pPr>
      <w:r>
        <w:rPr>
          <w:rFonts w:ascii="Arial" w:hAnsi="Arial"/>
          <w:sz w:val="20"/>
        </w:rPr>
        <w:t xml:space="preserve">Conformément à leur importance sur le marché, les centres de tournage-fraisage pour l’usinage intégral, polyvalent et haute productivité se verront attribuer une place de choix à l’Open House d’INDEX. Le </w:t>
      </w:r>
      <w:r>
        <w:rPr>
          <w:rFonts w:ascii="Arial" w:hAnsi="Arial"/>
          <w:b/>
          <w:sz w:val="20"/>
        </w:rPr>
        <w:t>centre de tournage-fraisage INDEX G320</w:t>
      </w:r>
      <w:r>
        <w:rPr>
          <w:rFonts w:ascii="Arial" w:hAnsi="Arial"/>
          <w:sz w:val="20"/>
        </w:rPr>
        <w:t xml:space="preserve"> illustre à merveille la manière dont le constructeur de renom conçoit une solution de production entièrement automatisée. Les experts en usinage complètent la machine avec une </w:t>
      </w:r>
      <w:r>
        <w:rPr>
          <w:rFonts w:ascii="Arial" w:hAnsi="Arial"/>
          <w:b/>
          <w:sz w:val="20"/>
        </w:rPr>
        <w:t xml:space="preserve">cellule robotisée </w:t>
      </w:r>
      <w:proofErr w:type="spellStart"/>
      <w:r>
        <w:rPr>
          <w:rFonts w:ascii="Arial" w:hAnsi="Arial"/>
          <w:b/>
          <w:sz w:val="20"/>
        </w:rPr>
        <w:t>iXcenter</w:t>
      </w:r>
      <w:proofErr w:type="spellEnd"/>
      <w:r>
        <w:rPr>
          <w:rFonts w:ascii="Arial" w:hAnsi="Arial"/>
          <w:sz w:val="20"/>
        </w:rPr>
        <w:t xml:space="preserve">, qui </w:t>
      </w:r>
      <w:proofErr w:type="spellStart"/>
      <w:r>
        <w:rPr>
          <w:rFonts w:ascii="Arial" w:hAnsi="Arial"/>
          <w:sz w:val="20"/>
        </w:rPr>
        <w:t>à</w:t>
      </w:r>
      <w:proofErr w:type="spellEnd"/>
      <w:r>
        <w:rPr>
          <w:rFonts w:ascii="Arial" w:hAnsi="Arial"/>
          <w:sz w:val="20"/>
        </w:rPr>
        <w:t xml:space="preserve"> </w:t>
      </w:r>
      <w:proofErr w:type="spellStart"/>
      <w:r>
        <w:rPr>
          <w:rFonts w:ascii="Arial" w:hAnsi="Arial"/>
          <w:sz w:val="20"/>
        </w:rPr>
        <w:t>sont</w:t>
      </w:r>
      <w:proofErr w:type="spellEnd"/>
      <w:r>
        <w:rPr>
          <w:rFonts w:ascii="Arial" w:hAnsi="Arial"/>
          <w:sz w:val="20"/>
        </w:rPr>
        <w:t xml:space="preserve"> tour peut être étendue par divers modules sur deux côtés. Au salon, cette solution d’automatisation sera équipée d’un poste de mesure/contrôle, qui contribue à une gestion automatisée des processus lorsqu’il est associé à un logiciel de mesure adapté et à l’</w:t>
      </w:r>
      <w:r>
        <w:rPr>
          <w:rFonts w:ascii="Arial" w:hAnsi="Arial"/>
          <w:b/>
          <w:sz w:val="20"/>
        </w:rPr>
        <w:t xml:space="preserve">interface de régulation INDEX </w:t>
      </w:r>
      <w:proofErr w:type="spellStart"/>
      <w:r>
        <w:rPr>
          <w:rFonts w:ascii="Arial" w:hAnsi="Arial"/>
          <w:b/>
          <w:sz w:val="20"/>
        </w:rPr>
        <w:t>Closed</w:t>
      </w:r>
      <w:proofErr w:type="spellEnd"/>
      <w:r>
        <w:rPr>
          <w:rFonts w:ascii="Arial" w:hAnsi="Arial"/>
          <w:b/>
          <w:sz w:val="20"/>
        </w:rPr>
        <w:t xml:space="preserve"> Loop</w:t>
      </w:r>
      <w:r>
        <w:rPr>
          <w:rFonts w:ascii="Arial" w:hAnsi="Arial"/>
          <w:sz w:val="20"/>
        </w:rPr>
        <w:t>.</w:t>
      </w:r>
    </w:p>
    <w:p w14:paraId="7DC00615" w14:textId="5549346D" w:rsidR="00DB7DF8" w:rsidRDefault="00DB7DF8" w:rsidP="00DB7DF8">
      <w:pPr>
        <w:spacing w:after="200" w:line="360" w:lineRule="auto"/>
        <w:ind w:left="142"/>
        <w:rPr>
          <w:rFonts w:ascii="Arial" w:eastAsiaTheme="minorHAnsi" w:hAnsi="Arial" w:cs="Arial"/>
          <w:sz w:val="20"/>
          <w:szCs w:val="20"/>
        </w:rPr>
      </w:pPr>
      <w:r>
        <w:rPr>
          <w:rFonts w:ascii="Arial" w:hAnsi="Arial"/>
          <w:sz w:val="20"/>
        </w:rPr>
        <w:t xml:space="preserve">L’INDEX G320 est en outre complété en externe par le nouveau </w:t>
      </w:r>
      <w:r>
        <w:rPr>
          <w:rFonts w:ascii="Arial" w:hAnsi="Arial"/>
          <w:b/>
          <w:sz w:val="20"/>
        </w:rPr>
        <w:t xml:space="preserve">magasin d’outils supplémentaire </w:t>
      </w:r>
      <w:proofErr w:type="spellStart"/>
      <w:r>
        <w:rPr>
          <w:rFonts w:ascii="Arial" w:hAnsi="Arial"/>
          <w:b/>
          <w:sz w:val="20"/>
        </w:rPr>
        <w:t>iXtools</w:t>
      </w:r>
      <w:proofErr w:type="spellEnd"/>
      <w:r>
        <w:rPr>
          <w:rFonts w:ascii="Arial" w:hAnsi="Arial"/>
          <w:b/>
          <w:sz w:val="20"/>
        </w:rPr>
        <w:t xml:space="preserve"> d’INDEX</w:t>
      </w:r>
      <w:r>
        <w:rPr>
          <w:rFonts w:ascii="Arial" w:hAnsi="Arial"/>
          <w:sz w:val="20"/>
        </w:rPr>
        <w:t>, qui peut être configuré pour tous les centres de tournage-fraisage d’INDEX. L’</w:t>
      </w:r>
      <w:proofErr w:type="spellStart"/>
      <w:r>
        <w:rPr>
          <w:rFonts w:ascii="Arial" w:hAnsi="Arial"/>
          <w:sz w:val="20"/>
        </w:rPr>
        <w:t>iXtools</w:t>
      </w:r>
      <w:proofErr w:type="spellEnd"/>
      <w:r>
        <w:rPr>
          <w:rFonts w:ascii="Arial" w:hAnsi="Arial"/>
          <w:sz w:val="20"/>
        </w:rPr>
        <w:t xml:space="preserve"> est une extension complète du magasin d’outils intégré à la machine et offre un accès illimité à jusqu’à 396 outils supplémentaires.</w:t>
      </w:r>
    </w:p>
    <w:p w14:paraId="4AB63F00" w14:textId="02E386E9" w:rsidR="00DB7DF8" w:rsidRDefault="00DB7DF8" w:rsidP="00ED3BC9">
      <w:pPr>
        <w:spacing w:after="200" w:line="360" w:lineRule="auto"/>
        <w:ind w:left="142"/>
        <w:jc w:val="both"/>
        <w:rPr>
          <w:rFonts w:ascii="Arial" w:eastAsiaTheme="minorHAnsi" w:hAnsi="Arial" w:cs="Arial"/>
          <w:sz w:val="20"/>
          <w:szCs w:val="20"/>
        </w:rPr>
      </w:pPr>
      <w:r>
        <w:rPr>
          <w:rFonts w:ascii="Arial" w:hAnsi="Arial"/>
          <w:sz w:val="20"/>
        </w:rPr>
        <w:t>La grande diversité de l’offre en tournage-fraisage que propose INDEX est démontrée par les nombreuses autres machines exposées, telles que l’</w:t>
      </w:r>
      <w:r>
        <w:rPr>
          <w:rFonts w:ascii="Arial" w:hAnsi="Arial"/>
          <w:b/>
          <w:sz w:val="20"/>
        </w:rPr>
        <w:t>INDEX G220</w:t>
      </w:r>
      <w:r>
        <w:rPr>
          <w:rFonts w:ascii="Arial" w:hAnsi="Arial"/>
          <w:sz w:val="20"/>
        </w:rPr>
        <w:t xml:space="preserve"> montrée pour la première fois en </w:t>
      </w:r>
      <w:r>
        <w:rPr>
          <w:rFonts w:ascii="Arial" w:hAnsi="Arial"/>
          <w:b/>
          <w:sz w:val="20"/>
        </w:rPr>
        <w:t>version longue</w:t>
      </w:r>
      <w:r>
        <w:rPr>
          <w:rFonts w:ascii="Arial" w:hAnsi="Arial"/>
          <w:sz w:val="20"/>
        </w:rPr>
        <w:t>, l’</w:t>
      </w:r>
      <w:r>
        <w:rPr>
          <w:rFonts w:ascii="Arial" w:hAnsi="Arial"/>
          <w:b/>
          <w:sz w:val="20"/>
        </w:rPr>
        <w:t>INDEX G200.2</w:t>
      </w:r>
      <w:r>
        <w:rPr>
          <w:rFonts w:ascii="Arial" w:hAnsi="Arial"/>
          <w:sz w:val="20"/>
        </w:rPr>
        <w:t xml:space="preserve"> avec </w:t>
      </w:r>
      <w:proofErr w:type="spellStart"/>
      <w:r>
        <w:rPr>
          <w:rFonts w:ascii="Arial" w:hAnsi="Arial"/>
          <w:sz w:val="20"/>
        </w:rPr>
        <w:t>iXcenter</w:t>
      </w:r>
      <w:proofErr w:type="spellEnd"/>
      <w:r>
        <w:rPr>
          <w:rFonts w:ascii="Arial" w:hAnsi="Arial"/>
          <w:sz w:val="20"/>
        </w:rPr>
        <w:t xml:space="preserve"> et la </w:t>
      </w:r>
      <w:r>
        <w:rPr>
          <w:rFonts w:ascii="Arial" w:hAnsi="Arial"/>
          <w:b/>
          <w:sz w:val="20"/>
        </w:rPr>
        <w:t>TRAUB TNX200</w:t>
      </w:r>
      <w:r>
        <w:rPr>
          <w:rFonts w:ascii="Arial" w:hAnsi="Arial"/>
          <w:sz w:val="20"/>
        </w:rPr>
        <w:t xml:space="preserve">. </w:t>
      </w:r>
      <w:r>
        <w:rPr>
          <w:rFonts w:ascii="Arial" w:hAnsi="Arial"/>
          <w:i/>
          <w:sz w:val="20"/>
        </w:rPr>
        <w:t>Voici une brève explication des désignations de type : sur les centres de tournage-fraisage G et TNX « X20 », l</w:t>
      </w:r>
      <w:r w:rsidR="00EC3549">
        <w:rPr>
          <w:rFonts w:ascii="Arial" w:hAnsi="Arial"/>
          <w:i/>
          <w:sz w:val="20"/>
        </w:rPr>
        <w:t>’</w:t>
      </w:r>
      <w:r w:rsidR="00EC3549" w:rsidRPr="00EC3549">
        <w:rPr>
          <w:rFonts w:ascii="Arial" w:hAnsi="Arial"/>
          <w:i/>
          <w:sz w:val="20"/>
        </w:rPr>
        <w:t xml:space="preserve">unité d'usinage </w:t>
      </w:r>
      <w:r>
        <w:rPr>
          <w:rFonts w:ascii="Arial" w:hAnsi="Arial"/>
          <w:i/>
          <w:sz w:val="20"/>
        </w:rPr>
        <w:t>supérieur</w:t>
      </w:r>
      <w:r w:rsidR="00EC3549">
        <w:rPr>
          <w:rFonts w:ascii="Arial" w:hAnsi="Arial"/>
          <w:i/>
          <w:sz w:val="20"/>
        </w:rPr>
        <w:t>e</w:t>
      </w:r>
      <w:r>
        <w:rPr>
          <w:rFonts w:ascii="Arial" w:hAnsi="Arial"/>
          <w:i/>
          <w:sz w:val="20"/>
        </w:rPr>
        <w:t xml:space="preserve"> se présente sous la forme d’une </w:t>
      </w:r>
      <w:proofErr w:type="spellStart"/>
      <w:r>
        <w:rPr>
          <w:rFonts w:ascii="Arial" w:hAnsi="Arial"/>
          <w:i/>
          <w:sz w:val="20"/>
        </w:rPr>
        <w:t>motobroche</w:t>
      </w:r>
      <w:proofErr w:type="spellEnd"/>
      <w:r>
        <w:rPr>
          <w:rFonts w:ascii="Arial" w:hAnsi="Arial"/>
          <w:i/>
          <w:sz w:val="20"/>
        </w:rPr>
        <w:t xml:space="preserve"> de fraisage, alors que les variantes « X00 » possèdent une tourelle d’outils à cet endroit.</w:t>
      </w:r>
    </w:p>
    <w:p w14:paraId="4C9BC814" w14:textId="77777777" w:rsidR="00F55D70" w:rsidRDefault="00F55D70" w:rsidP="005A0EF1">
      <w:pPr>
        <w:spacing w:after="200" w:line="360" w:lineRule="auto"/>
        <w:ind w:left="142"/>
        <w:rPr>
          <w:rFonts w:ascii="Arial" w:eastAsiaTheme="minorHAnsi" w:hAnsi="Arial" w:cs="Arial"/>
          <w:b/>
          <w:sz w:val="20"/>
          <w:szCs w:val="20"/>
          <w:lang w:eastAsia="en-US"/>
        </w:rPr>
      </w:pPr>
    </w:p>
    <w:p w14:paraId="0F578262" w14:textId="77777777" w:rsidR="00F55D70" w:rsidRDefault="00F55D70" w:rsidP="005A0EF1">
      <w:pPr>
        <w:spacing w:after="200" w:line="360" w:lineRule="auto"/>
        <w:ind w:left="142"/>
        <w:rPr>
          <w:rFonts w:ascii="Arial" w:eastAsiaTheme="minorHAnsi" w:hAnsi="Arial" w:cs="Arial"/>
          <w:b/>
          <w:sz w:val="20"/>
          <w:szCs w:val="20"/>
          <w:lang w:eastAsia="en-US"/>
        </w:rPr>
      </w:pPr>
    </w:p>
    <w:p w14:paraId="2B319849" w14:textId="77777777" w:rsidR="005A0EF1" w:rsidRPr="00755387" w:rsidRDefault="005A0EF1" w:rsidP="005A0EF1">
      <w:pPr>
        <w:spacing w:after="200" w:line="360" w:lineRule="auto"/>
        <w:ind w:left="142"/>
        <w:rPr>
          <w:rFonts w:ascii="Arial" w:eastAsiaTheme="minorHAnsi" w:hAnsi="Arial" w:cs="Arial"/>
          <w:b/>
          <w:sz w:val="20"/>
          <w:szCs w:val="20"/>
        </w:rPr>
      </w:pPr>
      <w:r>
        <w:rPr>
          <w:rFonts w:ascii="Arial" w:hAnsi="Arial"/>
          <w:b/>
          <w:sz w:val="20"/>
        </w:rPr>
        <w:t>Un tournage productif</w:t>
      </w:r>
    </w:p>
    <w:p w14:paraId="28ABE237" w14:textId="18A2E421" w:rsidR="00C70398" w:rsidRPr="00755387" w:rsidRDefault="00755387" w:rsidP="00ED3BC9">
      <w:pPr>
        <w:spacing w:after="200" w:line="360" w:lineRule="auto"/>
        <w:ind w:left="142"/>
        <w:jc w:val="both"/>
        <w:rPr>
          <w:rFonts w:ascii="Arial" w:eastAsiaTheme="minorHAnsi" w:hAnsi="Arial" w:cs="Arial"/>
          <w:sz w:val="20"/>
          <w:szCs w:val="20"/>
        </w:rPr>
      </w:pPr>
      <w:r>
        <w:rPr>
          <w:rFonts w:ascii="Arial" w:hAnsi="Arial"/>
          <w:sz w:val="20"/>
        </w:rPr>
        <w:t xml:space="preserve">Un Open House d’INDEX sans tours universels serait inimaginable. La </w:t>
      </w:r>
      <w:r>
        <w:rPr>
          <w:rFonts w:ascii="Arial" w:hAnsi="Arial"/>
          <w:b/>
          <w:sz w:val="20"/>
        </w:rPr>
        <w:t>TRAUB TNA500</w:t>
      </w:r>
      <w:r>
        <w:rPr>
          <w:rFonts w:ascii="Arial" w:hAnsi="Arial"/>
          <w:sz w:val="20"/>
        </w:rPr>
        <w:t xml:space="preserve">, par exemple, sera présentée en action. Elle est désormais – et c’est une nouveauté – disponible en </w:t>
      </w:r>
      <w:r>
        <w:rPr>
          <w:rFonts w:ascii="Arial" w:hAnsi="Arial"/>
          <w:b/>
          <w:sz w:val="20"/>
        </w:rPr>
        <w:t>version longue</w:t>
      </w:r>
      <w:r>
        <w:rPr>
          <w:rFonts w:ascii="Arial" w:hAnsi="Arial"/>
          <w:sz w:val="20"/>
        </w:rPr>
        <w:t xml:space="preserve"> avec une longueur de tournage pouvant atteindre 1200 mm et 18 postes d'outils pour encore plus de possibilités d’usinage.</w:t>
      </w:r>
    </w:p>
    <w:p w14:paraId="65122C93" w14:textId="3C1672B9" w:rsidR="00A740FB" w:rsidRPr="00755387" w:rsidRDefault="000B1A1E" w:rsidP="00A740FB">
      <w:pPr>
        <w:spacing w:after="200" w:line="360" w:lineRule="auto"/>
        <w:ind w:left="142"/>
        <w:rPr>
          <w:rFonts w:ascii="Arial" w:eastAsiaTheme="minorHAnsi" w:hAnsi="Arial" w:cs="Arial"/>
          <w:sz w:val="20"/>
          <w:szCs w:val="20"/>
        </w:rPr>
      </w:pPr>
      <w:r>
        <w:rPr>
          <w:rFonts w:ascii="Arial" w:hAnsi="Arial"/>
          <w:sz w:val="20"/>
        </w:rPr>
        <w:t xml:space="preserve">Compact, précis, rapide – le concept de machine des tours à poupée mobile/poupée fixe de la marque TRAUB est résolument adapté aux exigences quotidiennes des utilisateurs. La </w:t>
      </w:r>
      <w:r>
        <w:rPr>
          <w:rFonts w:ascii="Arial" w:hAnsi="Arial"/>
          <w:b/>
          <w:sz w:val="20"/>
        </w:rPr>
        <w:t>TRAUB TNL32 compact</w:t>
      </w:r>
      <w:r>
        <w:rPr>
          <w:rFonts w:ascii="Arial" w:hAnsi="Arial"/>
          <w:sz w:val="20"/>
        </w:rPr>
        <w:t xml:space="preserve"> se démarque non seulement par sa dynamique exceptionnellement élevée, mais aussi par son faible encombrement. Seront également présents les tours à poupée mobile/poupée fixe </w:t>
      </w:r>
      <w:r>
        <w:rPr>
          <w:rFonts w:ascii="Arial" w:hAnsi="Arial"/>
          <w:b/>
          <w:sz w:val="20"/>
        </w:rPr>
        <w:t>TRAUB TNL20</w:t>
      </w:r>
      <w:r>
        <w:rPr>
          <w:rFonts w:ascii="Arial" w:hAnsi="Arial"/>
          <w:sz w:val="20"/>
        </w:rPr>
        <w:t xml:space="preserve"> et </w:t>
      </w:r>
      <w:r>
        <w:rPr>
          <w:rFonts w:ascii="Arial" w:hAnsi="Arial"/>
          <w:b/>
          <w:sz w:val="20"/>
        </w:rPr>
        <w:t>TRAUB TNL12</w:t>
      </w:r>
      <w:r>
        <w:rPr>
          <w:rFonts w:ascii="Arial" w:hAnsi="Arial"/>
          <w:sz w:val="20"/>
        </w:rPr>
        <w:t>. Depuis 2020, ce dernier peut être aisément transformé en tour à poupée fixe, comme ses grands frères.</w:t>
      </w:r>
    </w:p>
    <w:p w14:paraId="0544E005" w14:textId="77777777" w:rsidR="00755387" w:rsidRPr="00755387" w:rsidRDefault="000B1A1E" w:rsidP="002C056C">
      <w:pPr>
        <w:spacing w:after="200" w:line="360" w:lineRule="auto"/>
        <w:ind w:left="142"/>
        <w:rPr>
          <w:rFonts w:ascii="Arial" w:eastAsiaTheme="minorHAnsi" w:hAnsi="Arial" w:cs="Arial"/>
          <w:b/>
          <w:sz w:val="20"/>
          <w:szCs w:val="20"/>
        </w:rPr>
      </w:pPr>
      <w:r>
        <w:rPr>
          <w:rFonts w:ascii="Arial" w:hAnsi="Arial"/>
          <w:b/>
          <w:sz w:val="20"/>
        </w:rPr>
        <w:t>Densité de puissance et dynamique élevées</w:t>
      </w:r>
    </w:p>
    <w:p w14:paraId="3E52C069" w14:textId="19C360AE" w:rsidR="009D0500" w:rsidRDefault="009D0500" w:rsidP="002C056C">
      <w:pPr>
        <w:spacing w:after="200" w:line="360" w:lineRule="auto"/>
        <w:ind w:left="142"/>
        <w:rPr>
          <w:rFonts w:ascii="Arial" w:eastAsiaTheme="minorHAnsi" w:hAnsi="Arial" w:cs="Arial"/>
          <w:sz w:val="20"/>
          <w:szCs w:val="20"/>
        </w:rPr>
      </w:pPr>
      <w:r>
        <w:rPr>
          <w:rFonts w:ascii="Arial" w:hAnsi="Arial"/>
          <w:sz w:val="20"/>
        </w:rPr>
        <w:t xml:space="preserve">Lorsqu’il s’agit de tournage de production, le </w:t>
      </w:r>
      <w:r>
        <w:rPr>
          <w:rFonts w:ascii="Arial" w:hAnsi="Arial"/>
          <w:b/>
          <w:sz w:val="20"/>
        </w:rPr>
        <w:t>tour CNC INDEX ABC</w:t>
      </w:r>
      <w:r>
        <w:rPr>
          <w:rFonts w:ascii="Arial" w:hAnsi="Arial"/>
          <w:sz w:val="20"/>
        </w:rPr>
        <w:t xml:space="preserve"> fait office de référence depuis de nombreuses années. C’est aussi le cas de la version actuelle de l’ABC, qui se distingue tout particulièrement par sa tourelle supérieure. Outre le déplacement dans l’axe Y, il offre un axe de commutation à indexation électronique, un réglage en hauteur et la possibilité d’équiper la machine de doubles porte-outils. </w:t>
      </w:r>
    </w:p>
    <w:p w14:paraId="07AC5683" w14:textId="77777777" w:rsidR="009D0500" w:rsidRDefault="000B1A1E" w:rsidP="009D0500">
      <w:pPr>
        <w:spacing w:after="200" w:line="360" w:lineRule="auto"/>
        <w:ind w:left="142"/>
        <w:rPr>
          <w:rFonts w:ascii="Arial" w:eastAsiaTheme="minorHAnsi" w:hAnsi="Arial" w:cs="Arial"/>
          <w:sz w:val="20"/>
          <w:szCs w:val="20"/>
        </w:rPr>
      </w:pPr>
      <w:r>
        <w:rPr>
          <w:rFonts w:ascii="Arial" w:hAnsi="Arial"/>
          <w:sz w:val="20"/>
        </w:rPr>
        <w:t xml:space="preserve">Le tour </w:t>
      </w:r>
      <w:r>
        <w:rPr>
          <w:rFonts w:ascii="Arial" w:hAnsi="Arial"/>
          <w:b/>
          <w:sz w:val="20"/>
        </w:rPr>
        <w:t>INDEX C200</w:t>
      </w:r>
      <w:r>
        <w:rPr>
          <w:rFonts w:ascii="Arial" w:hAnsi="Arial"/>
          <w:sz w:val="20"/>
        </w:rPr>
        <w:t xml:space="preserve"> est connu pour l’usinage de barres à productivité élevée et – comme l’INDEX ABC – il est disponible avec une commande Siemens ou </w:t>
      </w:r>
      <w:proofErr w:type="spellStart"/>
      <w:r>
        <w:rPr>
          <w:rFonts w:ascii="Arial" w:hAnsi="Arial"/>
          <w:sz w:val="20"/>
        </w:rPr>
        <w:t>Fanuc</w:t>
      </w:r>
      <w:proofErr w:type="spellEnd"/>
      <w:r>
        <w:rPr>
          <w:rFonts w:ascii="Arial" w:hAnsi="Arial"/>
          <w:sz w:val="20"/>
        </w:rPr>
        <w:t>. L’INDEX C200 sera également présenté à l’Open House dans sa version automatisée avec l’</w:t>
      </w:r>
      <w:proofErr w:type="spellStart"/>
      <w:r>
        <w:rPr>
          <w:rFonts w:ascii="Arial" w:hAnsi="Arial"/>
          <w:sz w:val="20"/>
        </w:rPr>
        <w:t>iXcenter</w:t>
      </w:r>
      <w:proofErr w:type="spellEnd"/>
      <w:r>
        <w:rPr>
          <w:rFonts w:ascii="Arial" w:hAnsi="Arial"/>
          <w:sz w:val="20"/>
        </w:rPr>
        <w:t xml:space="preserve"> d’INDEX.</w:t>
      </w:r>
    </w:p>
    <w:p w14:paraId="797F954F" w14:textId="33A02BD4" w:rsidR="000B1A1E" w:rsidRDefault="005A0EF1" w:rsidP="000B1A1E">
      <w:pPr>
        <w:spacing w:after="200" w:line="360" w:lineRule="auto"/>
        <w:ind w:left="142"/>
        <w:rPr>
          <w:rFonts w:ascii="Arial" w:eastAsiaTheme="minorHAnsi" w:hAnsi="Arial" w:cs="Arial"/>
          <w:sz w:val="20"/>
          <w:szCs w:val="20"/>
        </w:rPr>
      </w:pPr>
      <w:r>
        <w:rPr>
          <w:rFonts w:ascii="Arial" w:hAnsi="Arial"/>
          <w:sz w:val="20"/>
        </w:rPr>
        <w:t xml:space="preserve">Accroître encore davantage la productivité avec six broches, voilà ce que promet le tour multibroches CNC </w:t>
      </w:r>
      <w:r>
        <w:rPr>
          <w:rFonts w:ascii="Arial" w:hAnsi="Arial"/>
          <w:b/>
          <w:sz w:val="20"/>
        </w:rPr>
        <w:t>INDEX MS24-6</w:t>
      </w:r>
      <w:r>
        <w:rPr>
          <w:rFonts w:ascii="Arial" w:hAnsi="Arial"/>
          <w:sz w:val="20"/>
        </w:rPr>
        <w:t xml:space="preserve">, équipé du magasin </w:t>
      </w:r>
      <w:proofErr w:type="spellStart"/>
      <w:r>
        <w:rPr>
          <w:rFonts w:ascii="Arial" w:hAnsi="Arial"/>
          <w:sz w:val="20"/>
        </w:rPr>
        <w:t>embarreur</w:t>
      </w:r>
      <w:proofErr w:type="spellEnd"/>
      <w:r>
        <w:rPr>
          <w:rFonts w:ascii="Arial" w:hAnsi="Arial"/>
          <w:sz w:val="20"/>
        </w:rPr>
        <w:t xml:space="preserve"> MBL. Par rapport à son prédécesseur, le MS22-6, ce tour multibroche permet d’usiner des barres d’un diamètre légèrement plus grand tout en conservant une conception compacte et étant doté de nombreuses fonctionnalités. Compte tenu du fait que le nombre de pièces d’une série ne cesse de diminuer, son système d’équipement optimisé gagne en importance. Dans ce contexte, le système de </w:t>
      </w:r>
      <w:r w:rsidR="00EC3549">
        <w:rPr>
          <w:rFonts w:ascii="Arial" w:hAnsi="Arial"/>
          <w:sz w:val="20"/>
        </w:rPr>
        <w:t>serrage</w:t>
      </w:r>
      <w:bookmarkStart w:id="0" w:name="_GoBack"/>
      <w:bookmarkEnd w:id="0"/>
      <w:r>
        <w:rPr>
          <w:rFonts w:ascii="Arial" w:hAnsi="Arial"/>
          <w:sz w:val="20"/>
        </w:rPr>
        <w:t xml:space="preserve"> rapide INDEX équipé d’une denture en W intégrée sur le chariot transversal est un élément essentiel.</w:t>
      </w:r>
    </w:p>
    <w:p w14:paraId="2E9000F8" w14:textId="77777777" w:rsidR="006F3F67" w:rsidRPr="006F3F67" w:rsidRDefault="00ED2326" w:rsidP="006F3F67">
      <w:pPr>
        <w:spacing w:after="200" w:line="360" w:lineRule="auto"/>
        <w:ind w:left="142"/>
        <w:rPr>
          <w:rFonts w:ascii="Arial" w:eastAsiaTheme="minorHAnsi" w:hAnsi="Arial" w:cs="Arial"/>
          <w:b/>
          <w:sz w:val="20"/>
          <w:szCs w:val="20"/>
        </w:rPr>
      </w:pPr>
      <w:r>
        <w:rPr>
          <w:rFonts w:ascii="Arial" w:hAnsi="Arial"/>
          <w:b/>
          <w:sz w:val="20"/>
        </w:rPr>
        <w:t>18 entreprises partenaires, des conférences spécialisées et des débats</w:t>
      </w:r>
    </w:p>
    <w:p w14:paraId="6581FAF0" w14:textId="514C4698" w:rsidR="006F3F67" w:rsidRDefault="004F1087" w:rsidP="006F3F67">
      <w:pPr>
        <w:spacing w:after="200" w:line="360" w:lineRule="auto"/>
        <w:ind w:left="142"/>
        <w:rPr>
          <w:rFonts w:ascii="Arial" w:eastAsiaTheme="minorHAnsi" w:hAnsi="Arial" w:cs="Arial"/>
          <w:sz w:val="20"/>
          <w:szCs w:val="20"/>
        </w:rPr>
      </w:pPr>
      <w:r>
        <w:rPr>
          <w:rFonts w:ascii="Arial" w:hAnsi="Arial"/>
          <w:sz w:val="20"/>
        </w:rPr>
        <w:lastRenderedPageBreak/>
        <w:t xml:space="preserve">L’Open House d’INDEX accueillera </w:t>
      </w:r>
      <w:r>
        <w:rPr>
          <w:rFonts w:ascii="Arial" w:hAnsi="Arial"/>
          <w:b/>
          <w:sz w:val="20"/>
        </w:rPr>
        <w:t>18 entreprises partenaires</w:t>
      </w:r>
      <w:r>
        <w:rPr>
          <w:rFonts w:ascii="Arial" w:hAnsi="Arial"/>
          <w:sz w:val="20"/>
        </w:rPr>
        <w:t xml:space="preserve"> avec divers petits stands. Les partenaires </w:t>
      </w:r>
      <w:r>
        <w:rPr>
          <w:rFonts w:ascii="Arial" w:hAnsi="Arial"/>
          <w:b/>
          <w:sz w:val="20"/>
        </w:rPr>
        <w:t xml:space="preserve">One Click </w:t>
      </w:r>
      <w:proofErr w:type="spellStart"/>
      <w:r>
        <w:rPr>
          <w:rFonts w:ascii="Arial" w:hAnsi="Arial"/>
          <w:b/>
          <w:sz w:val="20"/>
        </w:rPr>
        <w:t>Metal</w:t>
      </w:r>
      <w:proofErr w:type="spellEnd"/>
      <w:r>
        <w:rPr>
          <w:rFonts w:ascii="Arial" w:hAnsi="Arial"/>
          <w:sz w:val="20"/>
        </w:rPr>
        <w:t xml:space="preserve"> (dont INDEX est actionnaire majoritaire) et </w:t>
      </w:r>
      <w:proofErr w:type="spellStart"/>
      <w:r>
        <w:rPr>
          <w:rFonts w:ascii="Arial" w:hAnsi="Arial"/>
          <w:b/>
          <w:sz w:val="20"/>
        </w:rPr>
        <w:t>Makino</w:t>
      </w:r>
      <w:proofErr w:type="spellEnd"/>
      <w:r>
        <w:rPr>
          <w:rFonts w:ascii="Arial" w:hAnsi="Arial"/>
          <w:sz w:val="20"/>
        </w:rPr>
        <w:t xml:space="preserve"> se verront attribuer un peu plus de place. One Click </w:t>
      </w:r>
      <w:proofErr w:type="spellStart"/>
      <w:r>
        <w:rPr>
          <w:rFonts w:ascii="Arial" w:hAnsi="Arial"/>
          <w:sz w:val="20"/>
        </w:rPr>
        <w:t>Metal</w:t>
      </w:r>
      <w:proofErr w:type="spellEnd"/>
      <w:r>
        <w:rPr>
          <w:rFonts w:ascii="Arial" w:hAnsi="Arial"/>
          <w:sz w:val="20"/>
        </w:rPr>
        <w:t xml:space="preserve"> dévoilera des exemples de solutions globales dans le domaine de l’impression 3D métal pour les composants de petite et moyenne taille, et le constructeur japonais de machines-outils haut de gamme </w:t>
      </w:r>
      <w:proofErr w:type="spellStart"/>
      <w:r>
        <w:rPr>
          <w:rFonts w:ascii="Arial" w:hAnsi="Arial"/>
          <w:sz w:val="20"/>
        </w:rPr>
        <w:t>Makino</w:t>
      </w:r>
      <w:proofErr w:type="spellEnd"/>
      <w:r>
        <w:rPr>
          <w:rFonts w:ascii="Arial" w:hAnsi="Arial"/>
          <w:sz w:val="20"/>
        </w:rPr>
        <w:t>, avec lequel INDEX s’est associé dans un partenariat de distribution à l’échelle mondiale, présentera son centre d’usinage horizontal à 5 axes actuel, le N2-5XA.</w:t>
      </w:r>
    </w:p>
    <w:p w14:paraId="4684C904" w14:textId="77777777" w:rsidR="003F3B91" w:rsidRDefault="003F3B91" w:rsidP="002C056C">
      <w:pPr>
        <w:spacing w:after="200" w:line="360" w:lineRule="auto"/>
        <w:ind w:left="142"/>
        <w:rPr>
          <w:rFonts w:ascii="Arial" w:eastAsiaTheme="minorHAnsi" w:hAnsi="Arial" w:cs="Arial"/>
          <w:sz w:val="20"/>
          <w:szCs w:val="20"/>
        </w:rPr>
      </w:pPr>
      <w:r>
        <w:rPr>
          <w:rFonts w:ascii="Arial" w:hAnsi="Arial"/>
          <w:sz w:val="20"/>
        </w:rPr>
        <w:t xml:space="preserve">En complément de la présentation des machines INDEX et TRAUB, INDEX invite tous les visiteurs à consolider leurs connaissances sur des sujets technologiques essentiels. Les conférences spécialisées et débats avec les experts des domaines du taillage d’engrenages, du </w:t>
      </w:r>
      <w:proofErr w:type="spellStart"/>
      <w:r>
        <w:rPr>
          <w:rFonts w:ascii="Arial" w:hAnsi="Arial"/>
          <w:sz w:val="20"/>
        </w:rPr>
        <w:t>tourbillonnage</w:t>
      </w:r>
      <w:proofErr w:type="spellEnd"/>
      <w:r>
        <w:rPr>
          <w:rFonts w:ascii="Arial" w:hAnsi="Arial"/>
          <w:sz w:val="20"/>
        </w:rPr>
        <w:t xml:space="preserve"> et de la rectification ainsi que de l’automatisation, de la numérisation, de l’approvisionnement, du refit et des directions métiers en seront autant d’occasions. </w:t>
      </w:r>
    </w:p>
    <w:p w14:paraId="6F2073A5" w14:textId="77777777" w:rsidR="00F74C07" w:rsidRDefault="00F74C07" w:rsidP="002C056C">
      <w:pPr>
        <w:spacing w:after="200" w:line="360" w:lineRule="auto"/>
        <w:ind w:left="142"/>
        <w:rPr>
          <w:rFonts w:ascii="Arial" w:eastAsiaTheme="minorHAnsi" w:hAnsi="Arial" w:cs="Arial"/>
          <w:sz w:val="20"/>
          <w:szCs w:val="20"/>
          <w:lang w:eastAsia="en-US"/>
        </w:rPr>
      </w:pPr>
    </w:p>
    <w:p w14:paraId="4B016EF0" w14:textId="77777777" w:rsidR="00416E5A" w:rsidRPr="00FC74CE" w:rsidRDefault="00444993" w:rsidP="002C056C">
      <w:pPr>
        <w:spacing w:after="200" w:line="360" w:lineRule="auto"/>
        <w:ind w:left="142"/>
        <w:rPr>
          <w:rFonts w:ascii="Arial" w:eastAsiaTheme="minorHAnsi" w:hAnsi="Arial" w:cs="Arial"/>
          <w:i/>
          <w:sz w:val="20"/>
          <w:szCs w:val="20"/>
        </w:rPr>
      </w:pPr>
      <w:r>
        <w:rPr>
          <w:rFonts w:ascii="Arial" w:hAnsi="Arial"/>
          <w:i/>
          <w:sz w:val="20"/>
        </w:rPr>
        <w:t>L’évènement Open House d’INDEX aura lieu du mardi 9 avril au vendredi 12 avril, 9 h à 17 h 30 (jusqu’à 16 h 30 vendredi). Les invités sont conviés à se retrouver en fin de journée pour un apéritif dans un cadre convivial.</w:t>
      </w:r>
    </w:p>
    <w:p w14:paraId="1109B98B" w14:textId="77777777" w:rsidR="003D722D" w:rsidRPr="003D722D" w:rsidRDefault="003D722D" w:rsidP="002C056C">
      <w:pPr>
        <w:spacing w:after="200" w:line="360" w:lineRule="auto"/>
        <w:ind w:left="142"/>
        <w:rPr>
          <w:rFonts w:ascii="Arial" w:eastAsiaTheme="minorHAnsi" w:hAnsi="Arial" w:cs="Arial"/>
          <w:sz w:val="20"/>
          <w:szCs w:val="20"/>
          <w:lang w:eastAsia="en-US"/>
        </w:rPr>
      </w:pPr>
    </w:p>
    <w:p w14:paraId="3D1FC07E" w14:textId="5CBAAD48" w:rsidR="00F32C8A" w:rsidRPr="00FC74CE" w:rsidRDefault="00F32C8A" w:rsidP="002C056C">
      <w:pPr>
        <w:spacing w:after="200" w:line="360" w:lineRule="auto"/>
        <w:ind w:left="142"/>
        <w:rPr>
          <w:rFonts w:ascii="Arial" w:eastAsiaTheme="minorHAnsi" w:hAnsi="Arial" w:cs="Arial"/>
          <w:i/>
          <w:sz w:val="20"/>
          <w:szCs w:val="20"/>
        </w:rPr>
      </w:pPr>
      <w:r>
        <w:rPr>
          <w:rFonts w:ascii="Arial" w:hAnsi="Arial"/>
          <w:i/>
          <w:sz w:val="20"/>
        </w:rPr>
        <w:t xml:space="preserve">Pour les inscriptions à l’évènement Open House 2024 du groupe INDEX à </w:t>
      </w:r>
      <w:proofErr w:type="spellStart"/>
      <w:r>
        <w:rPr>
          <w:rFonts w:ascii="Arial" w:hAnsi="Arial"/>
          <w:i/>
          <w:sz w:val="20"/>
        </w:rPr>
        <w:t>Deizisau</w:t>
      </w:r>
      <w:proofErr w:type="spellEnd"/>
      <w:r>
        <w:rPr>
          <w:rFonts w:ascii="Arial" w:hAnsi="Arial"/>
          <w:i/>
          <w:sz w:val="20"/>
        </w:rPr>
        <w:t xml:space="preserve"> ainsi que des informations complémentaires, rendez-vous sur le site </w:t>
      </w:r>
      <w:hyperlink r:id="rId8" w:history="1">
        <w:r>
          <w:rPr>
            <w:rStyle w:val="Hyperlink"/>
            <w:rFonts w:ascii="Arial" w:hAnsi="Arial"/>
            <w:i/>
            <w:sz w:val="20"/>
          </w:rPr>
          <w:t>www.index-group.com/openhouse</w:t>
        </w:r>
      </w:hyperlink>
    </w:p>
    <w:p w14:paraId="0628880E" w14:textId="77777777" w:rsidR="00F32C8A" w:rsidRPr="00D335FC" w:rsidRDefault="00F32C8A" w:rsidP="002C056C">
      <w:pPr>
        <w:suppressLineNumbers/>
        <w:spacing w:line="336" w:lineRule="auto"/>
        <w:ind w:left="142" w:right="1843"/>
        <w:rPr>
          <w:rFonts w:ascii="Arial" w:hAnsi="Arial" w:cs="Arial"/>
          <w:sz w:val="20"/>
          <w:szCs w:val="20"/>
        </w:rPr>
      </w:pPr>
    </w:p>
    <w:p w14:paraId="5BF8323D" w14:textId="77777777" w:rsidR="00F32C8A" w:rsidRPr="00D335FC" w:rsidRDefault="00F32C8A" w:rsidP="002C056C">
      <w:pPr>
        <w:suppressLineNumbers/>
        <w:spacing w:line="336" w:lineRule="auto"/>
        <w:ind w:left="142" w:right="1843"/>
        <w:rPr>
          <w:rFonts w:ascii="Arial" w:hAnsi="Arial" w:cs="Arial"/>
          <w:sz w:val="20"/>
          <w:szCs w:val="20"/>
        </w:rPr>
      </w:pPr>
      <w:proofErr w:type="gramStart"/>
      <w:r w:rsidRPr="00EC3549">
        <w:rPr>
          <w:rFonts w:ascii="Arial" w:hAnsi="Arial"/>
          <w:b/>
          <w:sz w:val="20"/>
          <w:lang w:val="en-US"/>
        </w:rPr>
        <w:t>Contact :</w:t>
      </w:r>
      <w:proofErr w:type="gramEnd"/>
      <w:r w:rsidRPr="00EC3549">
        <w:rPr>
          <w:rFonts w:ascii="Arial" w:hAnsi="Arial"/>
          <w:sz w:val="20"/>
          <w:lang w:val="en-US"/>
        </w:rPr>
        <w:tab/>
        <w:t>INDEX-</w:t>
      </w:r>
      <w:proofErr w:type="spellStart"/>
      <w:r w:rsidRPr="00EC3549">
        <w:rPr>
          <w:rFonts w:ascii="Arial" w:hAnsi="Arial"/>
          <w:sz w:val="20"/>
          <w:lang w:val="en-US"/>
        </w:rPr>
        <w:t>Werke</w:t>
      </w:r>
      <w:proofErr w:type="spellEnd"/>
      <w:r w:rsidRPr="00EC3549">
        <w:rPr>
          <w:rFonts w:ascii="Arial" w:hAnsi="Arial"/>
          <w:sz w:val="20"/>
          <w:lang w:val="en-US"/>
        </w:rPr>
        <w:t xml:space="preserve"> GmbH &amp; Co. </w:t>
      </w:r>
      <w:r>
        <w:rPr>
          <w:rFonts w:ascii="Arial" w:hAnsi="Arial"/>
          <w:sz w:val="20"/>
        </w:rPr>
        <w:t xml:space="preserve">KG Hahn &amp; </w:t>
      </w:r>
      <w:proofErr w:type="spellStart"/>
      <w:r>
        <w:rPr>
          <w:rFonts w:ascii="Arial" w:hAnsi="Arial"/>
          <w:sz w:val="20"/>
        </w:rPr>
        <w:t>Tessky</w:t>
      </w:r>
      <w:proofErr w:type="spellEnd"/>
    </w:p>
    <w:p w14:paraId="5BAC2DFE" w14:textId="77777777" w:rsidR="00F32C8A" w:rsidRPr="00D335FC" w:rsidRDefault="00F32C8A" w:rsidP="002C056C">
      <w:pPr>
        <w:suppressLineNumbers/>
        <w:spacing w:line="336" w:lineRule="auto"/>
        <w:ind w:left="709" w:right="1843" w:firstLine="709"/>
        <w:rPr>
          <w:rFonts w:ascii="Arial" w:hAnsi="Arial" w:cs="Arial"/>
          <w:sz w:val="20"/>
          <w:szCs w:val="20"/>
        </w:rPr>
      </w:pPr>
      <w:r>
        <w:rPr>
          <w:rFonts w:ascii="Arial" w:hAnsi="Arial"/>
          <w:sz w:val="20"/>
        </w:rPr>
        <w:t>Rainer Gondek</w:t>
      </w:r>
    </w:p>
    <w:p w14:paraId="776D4F53" w14:textId="77777777" w:rsidR="00F32C8A" w:rsidRPr="00D335FC" w:rsidRDefault="00F32C8A" w:rsidP="002C056C">
      <w:pPr>
        <w:suppressLineNumbers/>
        <w:spacing w:line="336" w:lineRule="auto"/>
        <w:ind w:left="709" w:right="1843" w:firstLine="709"/>
        <w:rPr>
          <w:rFonts w:ascii="Arial" w:hAnsi="Arial" w:cs="Arial"/>
          <w:sz w:val="20"/>
          <w:szCs w:val="20"/>
        </w:rPr>
      </w:pPr>
      <w:r>
        <w:rPr>
          <w:rFonts w:ascii="Arial" w:hAnsi="Arial"/>
          <w:sz w:val="20"/>
        </w:rPr>
        <w:t xml:space="preserve">Directeur Marketing Mondial </w:t>
      </w:r>
    </w:p>
    <w:p w14:paraId="37890C21" w14:textId="77777777" w:rsidR="00F32C8A" w:rsidRPr="00D335FC" w:rsidRDefault="00F32C8A" w:rsidP="002C056C">
      <w:pPr>
        <w:suppressLineNumbers/>
        <w:spacing w:line="336" w:lineRule="auto"/>
        <w:ind w:left="709" w:right="1843" w:firstLine="709"/>
        <w:rPr>
          <w:rFonts w:ascii="Arial" w:hAnsi="Arial" w:cs="Arial"/>
          <w:sz w:val="20"/>
          <w:szCs w:val="20"/>
        </w:rPr>
      </w:pPr>
      <w:r>
        <w:rPr>
          <w:rFonts w:ascii="Arial" w:hAnsi="Arial"/>
          <w:sz w:val="20"/>
        </w:rPr>
        <w:t>Tél. : +49 (711) 3191-1286</w:t>
      </w:r>
    </w:p>
    <w:p w14:paraId="1FA313E6" w14:textId="00969A5F" w:rsidR="00F32C8A" w:rsidRPr="00D335FC" w:rsidRDefault="00EC3549" w:rsidP="002C056C">
      <w:pPr>
        <w:suppressLineNumbers/>
        <w:spacing w:line="336" w:lineRule="auto"/>
        <w:ind w:left="709" w:right="1843" w:firstLine="709"/>
        <w:rPr>
          <w:rFonts w:ascii="Arial" w:hAnsi="Arial" w:cs="Arial"/>
          <w:sz w:val="20"/>
          <w:szCs w:val="20"/>
        </w:rPr>
      </w:pPr>
      <w:hyperlink r:id="rId9" w:history="1">
        <w:r w:rsidR="00285721">
          <w:rPr>
            <w:rStyle w:val="Hyperlink"/>
            <w:rFonts w:ascii="Arial" w:hAnsi="Arial"/>
            <w:sz w:val="20"/>
          </w:rPr>
          <w:t>rainer.gondek@index-werke.de</w:t>
        </w:r>
      </w:hyperlink>
      <w:r w:rsidR="00285721">
        <w:rPr>
          <w:rFonts w:ascii="Arial" w:hAnsi="Arial"/>
          <w:sz w:val="20"/>
        </w:rPr>
        <w:t xml:space="preserve"> </w:t>
      </w:r>
    </w:p>
    <w:p w14:paraId="4E3F2416" w14:textId="77777777" w:rsidR="005F3E24" w:rsidRDefault="005F3E24" w:rsidP="002C056C">
      <w:pPr>
        <w:spacing w:after="200" w:line="360" w:lineRule="auto"/>
        <w:ind w:left="142"/>
        <w:rPr>
          <w:rFonts w:ascii="Arial" w:eastAsiaTheme="minorHAnsi" w:hAnsi="Arial" w:cs="Arial"/>
          <w:sz w:val="20"/>
          <w:szCs w:val="20"/>
          <w:lang w:eastAsia="en-US"/>
        </w:rPr>
      </w:pPr>
    </w:p>
    <w:p w14:paraId="67584F69" w14:textId="77777777" w:rsidR="001B241B" w:rsidRPr="00D335FC" w:rsidRDefault="001B241B" w:rsidP="002C056C">
      <w:pPr>
        <w:spacing w:after="200" w:line="360" w:lineRule="auto"/>
        <w:ind w:left="142"/>
        <w:rPr>
          <w:rFonts w:ascii="Arial" w:eastAsiaTheme="minorHAnsi" w:hAnsi="Arial" w:cs="Arial"/>
          <w:sz w:val="20"/>
          <w:szCs w:val="20"/>
          <w:lang w:eastAsia="en-US"/>
        </w:rPr>
      </w:pPr>
    </w:p>
    <w:sectPr w:rsidR="001B241B" w:rsidRPr="00D335FC" w:rsidSect="00E84366">
      <w:headerReference w:type="default" r:id="rId10"/>
      <w:footerReference w:type="default" r:id="rId11"/>
      <w:type w:val="continuous"/>
      <w:pgSz w:w="11906" w:h="16838" w:code="9"/>
      <w:pgMar w:top="1077" w:right="2267" w:bottom="1134" w:left="1701" w:header="709" w:footer="454"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6EEA88" w14:textId="77777777" w:rsidR="00B7017D" w:rsidRDefault="00B7017D">
      <w:r>
        <w:separator/>
      </w:r>
    </w:p>
  </w:endnote>
  <w:endnote w:type="continuationSeparator" w:id="0">
    <w:p w14:paraId="2BE26128" w14:textId="77777777" w:rsidR="00B7017D" w:rsidRDefault="00B70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HOGI B+ Univer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8C70E" w14:textId="42B305E2" w:rsidR="00B7017D" w:rsidRPr="002A0A1F" w:rsidRDefault="00B7017D">
    <w:pPr>
      <w:pStyle w:val="Fuzeile"/>
      <w:rPr>
        <w:rFonts w:ascii="Arial" w:hAnsi="Arial" w:cs="Arial"/>
        <w:sz w:val="18"/>
        <w:szCs w:val="18"/>
      </w:rPr>
    </w:pPr>
    <w:r>
      <w:rPr>
        <w:rFonts w:ascii="Arial" w:hAnsi="Arial"/>
        <w:sz w:val="18"/>
      </w:rPr>
      <w:t xml:space="preserve">                                                               Page </w:t>
    </w:r>
    <w:r w:rsidRPr="002A0A1F">
      <w:rPr>
        <w:rStyle w:val="Seitenzahl"/>
        <w:rFonts w:ascii="Arial" w:hAnsi="Arial" w:cs="Arial"/>
        <w:sz w:val="18"/>
      </w:rPr>
      <w:fldChar w:fldCharType="begin"/>
    </w:r>
    <w:r w:rsidRPr="002A0A1F">
      <w:rPr>
        <w:rStyle w:val="Seitenzahl"/>
        <w:rFonts w:ascii="Arial" w:hAnsi="Arial" w:cs="Arial"/>
        <w:sz w:val="18"/>
      </w:rPr>
      <w:instrText xml:space="preserve"> PAGE </w:instrText>
    </w:r>
    <w:r w:rsidRPr="002A0A1F">
      <w:rPr>
        <w:rStyle w:val="Seitenzahl"/>
        <w:rFonts w:ascii="Arial" w:hAnsi="Arial" w:cs="Arial"/>
        <w:sz w:val="18"/>
      </w:rPr>
      <w:fldChar w:fldCharType="separate"/>
    </w:r>
    <w:r w:rsidR="00EC3549">
      <w:rPr>
        <w:rStyle w:val="Seitenzahl"/>
        <w:rFonts w:ascii="Arial" w:hAnsi="Arial" w:cs="Arial"/>
        <w:noProof/>
        <w:sz w:val="18"/>
      </w:rPr>
      <w:t>3</w:t>
    </w:r>
    <w:r w:rsidRPr="002A0A1F">
      <w:rPr>
        <w:rStyle w:val="Seitenzahl"/>
        <w:rFonts w:ascii="Arial" w:hAnsi="Arial" w:cs="Arial"/>
        <w:sz w:val="18"/>
      </w:rPr>
      <w:fldChar w:fldCharType="end"/>
    </w:r>
    <w:r>
      <w:rPr>
        <w:rStyle w:val="Seitenzahl"/>
        <w:rFonts w:ascii="Arial" w:hAnsi="Arial"/>
        <w:sz w:val="18"/>
      </w:rPr>
      <w:t xml:space="preserve"> sur </w:t>
    </w:r>
    <w:r w:rsidRPr="002A0A1F">
      <w:rPr>
        <w:rStyle w:val="Seitenzahl"/>
        <w:rFonts w:ascii="Arial" w:hAnsi="Arial" w:cs="Arial"/>
        <w:sz w:val="18"/>
      </w:rPr>
      <w:fldChar w:fldCharType="begin"/>
    </w:r>
    <w:r w:rsidRPr="002A0A1F">
      <w:rPr>
        <w:rStyle w:val="Seitenzahl"/>
        <w:rFonts w:ascii="Arial" w:hAnsi="Arial" w:cs="Arial"/>
        <w:sz w:val="18"/>
      </w:rPr>
      <w:instrText xml:space="preserve"> NUMPAGES </w:instrText>
    </w:r>
    <w:r w:rsidRPr="002A0A1F">
      <w:rPr>
        <w:rStyle w:val="Seitenzahl"/>
        <w:rFonts w:ascii="Arial" w:hAnsi="Arial" w:cs="Arial"/>
        <w:sz w:val="18"/>
      </w:rPr>
      <w:fldChar w:fldCharType="separate"/>
    </w:r>
    <w:r w:rsidR="00EC3549">
      <w:rPr>
        <w:rStyle w:val="Seitenzahl"/>
        <w:rFonts w:ascii="Arial" w:hAnsi="Arial" w:cs="Arial"/>
        <w:noProof/>
        <w:sz w:val="18"/>
      </w:rPr>
      <w:t>3</w:t>
    </w:r>
    <w:r w:rsidRPr="002A0A1F">
      <w:rPr>
        <w:rStyle w:val="Seitenzahl"/>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EE569F" w14:textId="77777777" w:rsidR="00B7017D" w:rsidRDefault="00B7017D">
      <w:r>
        <w:separator/>
      </w:r>
    </w:p>
  </w:footnote>
  <w:footnote w:type="continuationSeparator" w:id="0">
    <w:p w14:paraId="10B282DE" w14:textId="77777777" w:rsidR="00B7017D" w:rsidRDefault="00B701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453F8" w14:textId="77777777" w:rsidR="00B7017D" w:rsidRPr="003D200C" w:rsidRDefault="00B7017D" w:rsidP="00825AC7">
    <w:pPr>
      <w:pStyle w:val="Kopfzeile"/>
      <w:tabs>
        <w:tab w:val="clear" w:pos="9072"/>
        <w:tab w:val="right" w:pos="9360"/>
      </w:tabs>
      <w:ind w:left="2544" w:right="-1418" w:firstLine="4296"/>
    </w:pPr>
    <w:r>
      <w:tab/>
    </w:r>
    <w:r>
      <w:rPr>
        <w:noProof/>
        <w:lang w:val="de-DE" w:eastAsia="zh-CN"/>
      </w:rPr>
      <w:drawing>
        <wp:inline distT="0" distB="0" distL="0" distR="0" wp14:anchorId="7A3D86A6" wp14:editId="25638298">
          <wp:extent cx="904875" cy="200025"/>
          <wp:effectExtent l="0" t="0" r="9525" b="9525"/>
          <wp:docPr id="6" name="Bild 2" descr="INDEX-25mm-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EX-25mm-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00025"/>
                  </a:xfrm>
                  <a:prstGeom prst="rect">
                    <a:avLst/>
                  </a:prstGeom>
                  <a:noFill/>
                  <a:ln>
                    <a:noFill/>
                  </a:ln>
                </pic:spPr>
              </pic:pic>
            </a:graphicData>
          </a:graphic>
        </wp:inline>
      </w:drawing>
    </w:r>
  </w:p>
  <w:p w14:paraId="05462983" w14:textId="77777777" w:rsidR="00B7017D" w:rsidRDefault="00B7017D" w:rsidP="008C66BE">
    <w:pPr>
      <w:pStyle w:val="Kopfzeile"/>
      <w:tabs>
        <w:tab w:val="clear" w:pos="4536"/>
        <w:tab w:val="clear" w:pos="9072"/>
      </w:tabs>
      <w:ind w:left="6840"/>
      <w:jc w:val="right"/>
      <w:rPr>
        <w:rFonts w:ascii="Arial" w:hAnsi="Arial" w:cs="Arial"/>
        <w:sz w:val="16"/>
        <w:lang w:val="en-US"/>
      </w:rPr>
    </w:pPr>
  </w:p>
  <w:p w14:paraId="6FB346F3" w14:textId="77777777" w:rsidR="00B7017D" w:rsidRPr="008178F5" w:rsidRDefault="00B7017D" w:rsidP="00467F33">
    <w:pPr>
      <w:pStyle w:val="Kopfzeile"/>
      <w:tabs>
        <w:tab w:val="clear" w:pos="4536"/>
        <w:tab w:val="clear" w:pos="9072"/>
      </w:tabs>
      <w:ind w:left="6840" w:right="-1560"/>
      <w:jc w:val="center"/>
      <w:rPr>
        <w:rFonts w:ascii="Arial" w:hAnsi="Arial" w:cs="Arial"/>
        <w:sz w:val="16"/>
      </w:rPr>
    </w:pPr>
    <w:r>
      <w:rPr>
        <w:rFonts w:ascii="Arial" w:hAnsi="Arial"/>
        <w:sz w:val="16"/>
      </w:rPr>
      <w:t xml:space="preserve">            INDEX Open House 2024</w:t>
    </w:r>
  </w:p>
  <w:p w14:paraId="4BB5D99A" w14:textId="77777777" w:rsidR="00B7017D" w:rsidRPr="003D200C" w:rsidRDefault="00B7017D" w:rsidP="00467F33">
    <w:pPr>
      <w:pStyle w:val="Kopfzeile"/>
      <w:tabs>
        <w:tab w:val="clear" w:pos="4536"/>
        <w:tab w:val="clear" w:pos="9072"/>
      </w:tabs>
      <w:ind w:left="6840" w:right="-1560"/>
      <w:rPr>
        <w:rFonts w:ascii="Arial" w:hAnsi="Arial" w:cs="Arial"/>
        <w:sz w:val="16"/>
      </w:rPr>
    </w:pPr>
    <w:r>
      <w:rPr>
        <w:rFonts w:ascii="Arial" w:hAnsi="Arial"/>
        <w:sz w:val="16"/>
      </w:rPr>
      <w:t xml:space="preserve">   </w:t>
    </w:r>
    <w:r>
      <w:rPr>
        <w:rFonts w:ascii="Arial" w:hAnsi="Arial"/>
        <w:sz w:val="16"/>
      </w:rPr>
      <w:tab/>
    </w:r>
    <w:r>
      <w:rPr>
        <w:rFonts w:ascii="Arial" w:hAnsi="Arial"/>
        <w:sz w:val="16"/>
      </w:rPr>
      <w:tab/>
      <w:t xml:space="preserve">  </w:t>
    </w:r>
  </w:p>
  <w:p w14:paraId="1A69D691" w14:textId="77777777" w:rsidR="00B7017D" w:rsidRPr="003D200C" w:rsidRDefault="00B7017D" w:rsidP="00AE64C2">
    <w:pPr>
      <w:pStyle w:val="Kopfzeile"/>
      <w:tabs>
        <w:tab w:val="clear" w:pos="4536"/>
        <w:tab w:val="clear" w:pos="9072"/>
      </w:tabs>
      <w:ind w:left="6840"/>
      <w:jc w:val="right"/>
      <w:rPr>
        <w:rFonts w:ascii="Arial" w:hAnsi="Arial" w:cs="Arial"/>
        <w:sz w:val="16"/>
        <w:lang w:val="en-US"/>
      </w:rPr>
    </w:pPr>
  </w:p>
  <w:p w14:paraId="6959488C" w14:textId="77777777" w:rsidR="00B7017D" w:rsidRPr="00AE64C2" w:rsidRDefault="00B7017D" w:rsidP="00AE64C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749F9"/>
    <w:multiLevelType w:val="hybridMultilevel"/>
    <w:tmpl w:val="29144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A3F40EA"/>
    <w:multiLevelType w:val="multilevel"/>
    <w:tmpl w:val="0C0A2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8136DB"/>
    <w:multiLevelType w:val="hybridMultilevel"/>
    <w:tmpl w:val="8F2AEB0C"/>
    <w:lvl w:ilvl="0" w:tplc="0B62E8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B72"/>
    <w:rsid w:val="000001ED"/>
    <w:rsid w:val="000004DE"/>
    <w:rsid w:val="00000C75"/>
    <w:rsid w:val="00000CF3"/>
    <w:rsid w:val="00003F66"/>
    <w:rsid w:val="00013608"/>
    <w:rsid w:val="000145DC"/>
    <w:rsid w:val="000223C7"/>
    <w:rsid w:val="0002718C"/>
    <w:rsid w:val="00031013"/>
    <w:rsid w:val="000330EB"/>
    <w:rsid w:val="00033FAB"/>
    <w:rsid w:val="00037BA7"/>
    <w:rsid w:val="00037DD6"/>
    <w:rsid w:val="000417E2"/>
    <w:rsid w:val="00042DA3"/>
    <w:rsid w:val="00046FB5"/>
    <w:rsid w:val="00050D75"/>
    <w:rsid w:val="00062E38"/>
    <w:rsid w:val="00071092"/>
    <w:rsid w:val="0008729A"/>
    <w:rsid w:val="00092A02"/>
    <w:rsid w:val="000A09F9"/>
    <w:rsid w:val="000A0DDD"/>
    <w:rsid w:val="000A6B85"/>
    <w:rsid w:val="000A7F31"/>
    <w:rsid w:val="000B0B5B"/>
    <w:rsid w:val="000B1A1E"/>
    <w:rsid w:val="000C2336"/>
    <w:rsid w:val="000D0A3A"/>
    <w:rsid w:val="000D22C6"/>
    <w:rsid w:val="000D3A08"/>
    <w:rsid w:val="000D546A"/>
    <w:rsid w:val="000E7045"/>
    <w:rsid w:val="000E7E0D"/>
    <w:rsid w:val="00107B6B"/>
    <w:rsid w:val="00107F92"/>
    <w:rsid w:val="0011189B"/>
    <w:rsid w:val="00112619"/>
    <w:rsid w:val="00120659"/>
    <w:rsid w:val="001222ED"/>
    <w:rsid w:val="00123D45"/>
    <w:rsid w:val="00130697"/>
    <w:rsid w:val="0013100D"/>
    <w:rsid w:val="00131AC4"/>
    <w:rsid w:val="0013320E"/>
    <w:rsid w:val="00134120"/>
    <w:rsid w:val="001365DF"/>
    <w:rsid w:val="00143AF0"/>
    <w:rsid w:val="00144799"/>
    <w:rsid w:val="00144D74"/>
    <w:rsid w:val="00146885"/>
    <w:rsid w:val="0015427D"/>
    <w:rsid w:val="0016091D"/>
    <w:rsid w:val="00181FF2"/>
    <w:rsid w:val="001824A6"/>
    <w:rsid w:val="001867F8"/>
    <w:rsid w:val="00186F99"/>
    <w:rsid w:val="00191224"/>
    <w:rsid w:val="001913D5"/>
    <w:rsid w:val="00192759"/>
    <w:rsid w:val="00195AFF"/>
    <w:rsid w:val="001960C7"/>
    <w:rsid w:val="001A1972"/>
    <w:rsid w:val="001A27F4"/>
    <w:rsid w:val="001A4133"/>
    <w:rsid w:val="001B1E13"/>
    <w:rsid w:val="001B241B"/>
    <w:rsid w:val="001B2FB1"/>
    <w:rsid w:val="001B36CA"/>
    <w:rsid w:val="001B39F6"/>
    <w:rsid w:val="001B7AF4"/>
    <w:rsid w:val="001D5C7B"/>
    <w:rsid w:val="001E05DD"/>
    <w:rsid w:val="001E1539"/>
    <w:rsid w:val="001F6AF7"/>
    <w:rsid w:val="00201559"/>
    <w:rsid w:val="00206324"/>
    <w:rsid w:val="00207497"/>
    <w:rsid w:val="00207885"/>
    <w:rsid w:val="00211AF2"/>
    <w:rsid w:val="00212595"/>
    <w:rsid w:val="0021387E"/>
    <w:rsid w:val="002208C9"/>
    <w:rsid w:val="002213FD"/>
    <w:rsid w:val="00224559"/>
    <w:rsid w:val="00225696"/>
    <w:rsid w:val="00235ED6"/>
    <w:rsid w:val="002361B1"/>
    <w:rsid w:val="002373E8"/>
    <w:rsid w:val="002508F8"/>
    <w:rsid w:val="00252394"/>
    <w:rsid w:val="00256000"/>
    <w:rsid w:val="00261CB4"/>
    <w:rsid w:val="00262014"/>
    <w:rsid w:val="00262D8D"/>
    <w:rsid w:val="0026448E"/>
    <w:rsid w:val="00267FDD"/>
    <w:rsid w:val="0027071B"/>
    <w:rsid w:val="00270ADC"/>
    <w:rsid w:val="00284137"/>
    <w:rsid w:val="00284D73"/>
    <w:rsid w:val="00285721"/>
    <w:rsid w:val="00285D73"/>
    <w:rsid w:val="00294D30"/>
    <w:rsid w:val="00295D86"/>
    <w:rsid w:val="0029715D"/>
    <w:rsid w:val="002A0A1F"/>
    <w:rsid w:val="002B28B3"/>
    <w:rsid w:val="002C056C"/>
    <w:rsid w:val="002C2782"/>
    <w:rsid w:val="002C52CB"/>
    <w:rsid w:val="002D038B"/>
    <w:rsid w:val="002D0FF4"/>
    <w:rsid w:val="002D2928"/>
    <w:rsid w:val="002D37B1"/>
    <w:rsid w:val="002D574E"/>
    <w:rsid w:val="002E4C83"/>
    <w:rsid w:val="002E52C6"/>
    <w:rsid w:val="002E572F"/>
    <w:rsid w:val="002E653C"/>
    <w:rsid w:val="002E74F7"/>
    <w:rsid w:val="002F1927"/>
    <w:rsid w:val="002F40C9"/>
    <w:rsid w:val="002F51C3"/>
    <w:rsid w:val="002F51D6"/>
    <w:rsid w:val="002F7069"/>
    <w:rsid w:val="0030559E"/>
    <w:rsid w:val="0030733E"/>
    <w:rsid w:val="003240E3"/>
    <w:rsid w:val="00334401"/>
    <w:rsid w:val="00350072"/>
    <w:rsid w:val="00353117"/>
    <w:rsid w:val="00360228"/>
    <w:rsid w:val="00360722"/>
    <w:rsid w:val="0036385F"/>
    <w:rsid w:val="0036726E"/>
    <w:rsid w:val="00367F5D"/>
    <w:rsid w:val="0037311D"/>
    <w:rsid w:val="0037625A"/>
    <w:rsid w:val="00377560"/>
    <w:rsid w:val="0037788C"/>
    <w:rsid w:val="00377F47"/>
    <w:rsid w:val="00380258"/>
    <w:rsid w:val="00381EF9"/>
    <w:rsid w:val="003860F4"/>
    <w:rsid w:val="003924B0"/>
    <w:rsid w:val="003925A8"/>
    <w:rsid w:val="00393024"/>
    <w:rsid w:val="00394986"/>
    <w:rsid w:val="003957DE"/>
    <w:rsid w:val="00395A28"/>
    <w:rsid w:val="00397A76"/>
    <w:rsid w:val="003A7C1B"/>
    <w:rsid w:val="003B0528"/>
    <w:rsid w:val="003B0F98"/>
    <w:rsid w:val="003B5BA9"/>
    <w:rsid w:val="003C0AF9"/>
    <w:rsid w:val="003C2277"/>
    <w:rsid w:val="003C6139"/>
    <w:rsid w:val="003D722D"/>
    <w:rsid w:val="003E4D2B"/>
    <w:rsid w:val="003E5584"/>
    <w:rsid w:val="003F3B91"/>
    <w:rsid w:val="003F60D2"/>
    <w:rsid w:val="00406AB0"/>
    <w:rsid w:val="0041150F"/>
    <w:rsid w:val="00414CF2"/>
    <w:rsid w:val="00415A87"/>
    <w:rsid w:val="00415D03"/>
    <w:rsid w:val="00416E5A"/>
    <w:rsid w:val="004203A9"/>
    <w:rsid w:val="004204C8"/>
    <w:rsid w:val="00422AE3"/>
    <w:rsid w:val="00424E75"/>
    <w:rsid w:val="00426195"/>
    <w:rsid w:val="00432DD2"/>
    <w:rsid w:val="00433009"/>
    <w:rsid w:val="00433266"/>
    <w:rsid w:val="00443DDF"/>
    <w:rsid w:val="00444993"/>
    <w:rsid w:val="00446750"/>
    <w:rsid w:val="00447215"/>
    <w:rsid w:val="004577EF"/>
    <w:rsid w:val="0046004B"/>
    <w:rsid w:val="00460631"/>
    <w:rsid w:val="00463188"/>
    <w:rsid w:val="00463DF5"/>
    <w:rsid w:val="00467F33"/>
    <w:rsid w:val="004720E4"/>
    <w:rsid w:val="0047346F"/>
    <w:rsid w:val="00476642"/>
    <w:rsid w:val="004804E4"/>
    <w:rsid w:val="00480651"/>
    <w:rsid w:val="0048614F"/>
    <w:rsid w:val="00495221"/>
    <w:rsid w:val="0049679A"/>
    <w:rsid w:val="00496CE2"/>
    <w:rsid w:val="00497A31"/>
    <w:rsid w:val="004A094C"/>
    <w:rsid w:val="004A2FB6"/>
    <w:rsid w:val="004A729F"/>
    <w:rsid w:val="004B0F49"/>
    <w:rsid w:val="004B2855"/>
    <w:rsid w:val="004B4C43"/>
    <w:rsid w:val="004B5958"/>
    <w:rsid w:val="004B5999"/>
    <w:rsid w:val="004B6991"/>
    <w:rsid w:val="004C27C0"/>
    <w:rsid w:val="004C61DA"/>
    <w:rsid w:val="004D0E02"/>
    <w:rsid w:val="004D161C"/>
    <w:rsid w:val="004D5118"/>
    <w:rsid w:val="004D5409"/>
    <w:rsid w:val="004D75BA"/>
    <w:rsid w:val="004E3D1C"/>
    <w:rsid w:val="004E6BF4"/>
    <w:rsid w:val="004F048C"/>
    <w:rsid w:val="004F1087"/>
    <w:rsid w:val="004F6632"/>
    <w:rsid w:val="004F741B"/>
    <w:rsid w:val="00500E3C"/>
    <w:rsid w:val="00501800"/>
    <w:rsid w:val="005042F8"/>
    <w:rsid w:val="00504380"/>
    <w:rsid w:val="00521067"/>
    <w:rsid w:val="00521CF6"/>
    <w:rsid w:val="0052567E"/>
    <w:rsid w:val="0053108F"/>
    <w:rsid w:val="005310D0"/>
    <w:rsid w:val="0053423A"/>
    <w:rsid w:val="00534760"/>
    <w:rsid w:val="00543713"/>
    <w:rsid w:val="00543C7E"/>
    <w:rsid w:val="00544BB2"/>
    <w:rsid w:val="0055166D"/>
    <w:rsid w:val="005609F5"/>
    <w:rsid w:val="00566701"/>
    <w:rsid w:val="00573260"/>
    <w:rsid w:val="00573C44"/>
    <w:rsid w:val="005753FB"/>
    <w:rsid w:val="0057633A"/>
    <w:rsid w:val="00577F45"/>
    <w:rsid w:val="00581ADC"/>
    <w:rsid w:val="00590BA3"/>
    <w:rsid w:val="005A0B98"/>
    <w:rsid w:val="005A0EF1"/>
    <w:rsid w:val="005A353A"/>
    <w:rsid w:val="005A48B3"/>
    <w:rsid w:val="005A549F"/>
    <w:rsid w:val="005B0DF3"/>
    <w:rsid w:val="005C021E"/>
    <w:rsid w:val="005C6E5A"/>
    <w:rsid w:val="005C721F"/>
    <w:rsid w:val="005D014F"/>
    <w:rsid w:val="005D018C"/>
    <w:rsid w:val="005D5FB8"/>
    <w:rsid w:val="005E00FA"/>
    <w:rsid w:val="005E29EC"/>
    <w:rsid w:val="005F0B54"/>
    <w:rsid w:val="005F3E24"/>
    <w:rsid w:val="005F3E80"/>
    <w:rsid w:val="005F55FF"/>
    <w:rsid w:val="005F5611"/>
    <w:rsid w:val="005F7A16"/>
    <w:rsid w:val="006027CB"/>
    <w:rsid w:val="006160DC"/>
    <w:rsid w:val="0062379F"/>
    <w:rsid w:val="00627581"/>
    <w:rsid w:val="00630673"/>
    <w:rsid w:val="00637120"/>
    <w:rsid w:val="0065153A"/>
    <w:rsid w:val="006534CD"/>
    <w:rsid w:val="00656679"/>
    <w:rsid w:val="00672561"/>
    <w:rsid w:val="006727C1"/>
    <w:rsid w:val="00675059"/>
    <w:rsid w:val="00677566"/>
    <w:rsid w:val="006803F7"/>
    <w:rsid w:val="00680B31"/>
    <w:rsid w:val="0068145C"/>
    <w:rsid w:val="00683EF2"/>
    <w:rsid w:val="00684280"/>
    <w:rsid w:val="00695EC9"/>
    <w:rsid w:val="00697B66"/>
    <w:rsid w:val="006A5028"/>
    <w:rsid w:val="006A588B"/>
    <w:rsid w:val="006A5BF1"/>
    <w:rsid w:val="006A673A"/>
    <w:rsid w:val="006A6F2B"/>
    <w:rsid w:val="006B4984"/>
    <w:rsid w:val="006C0FD9"/>
    <w:rsid w:val="006C3E18"/>
    <w:rsid w:val="006C44E2"/>
    <w:rsid w:val="006D1B3E"/>
    <w:rsid w:val="006E0AE1"/>
    <w:rsid w:val="006E1B3D"/>
    <w:rsid w:val="006E6820"/>
    <w:rsid w:val="006F25E1"/>
    <w:rsid w:val="006F2CD8"/>
    <w:rsid w:val="006F3F67"/>
    <w:rsid w:val="006F6209"/>
    <w:rsid w:val="006F7DCA"/>
    <w:rsid w:val="007048E3"/>
    <w:rsid w:val="00706415"/>
    <w:rsid w:val="0071341B"/>
    <w:rsid w:val="00713606"/>
    <w:rsid w:val="00717063"/>
    <w:rsid w:val="00717BFA"/>
    <w:rsid w:val="00727E85"/>
    <w:rsid w:val="00734673"/>
    <w:rsid w:val="00740E7F"/>
    <w:rsid w:val="00743C92"/>
    <w:rsid w:val="00745E7E"/>
    <w:rsid w:val="00747230"/>
    <w:rsid w:val="00751511"/>
    <w:rsid w:val="00755387"/>
    <w:rsid w:val="0076014F"/>
    <w:rsid w:val="00760FEC"/>
    <w:rsid w:val="00761098"/>
    <w:rsid w:val="00761B1E"/>
    <w:rsid w:val="00764F00"/>
    <w:rsid w:val="007652CE"/>
    <w:rsid w:val="007661DA"/>
    <w:rsid w:val="0077349B"/>
    <w:rsid w:val="00775FA5"/>
    <w:rsid w:val="00776180"/>
    <w:rsid w:val="00786B4C"/>
    <w:rsid w:val="00790FA8"/>
    <w:rsid w:val="00793000"/>
    <w:rsid w:val="00796030"/>
    <w:rsid w:val="0079786D"/>
    <w:rsid w:val="007A7797"/>
    <w:rsid w:val="007B0855"/>
    <w:rsid w:val="007B1419"/>
    <w:rsid w:val="007B1DCF"/>
    <w:rsid w:val="007B1E16"/>
    <w:rsid w:val="007B2595"/>
    <w:rsid w:val="007B5F69"/>
    <w:rsid w:val="007B737D"/>
    <w:rsid w:val="007D169D"/>
    <w:rsid w:val="007E06B0"/>
    <w:rsid w:val="007E37E5"/>
    <w:rsid w:val="007F052C"/>
    <w:rsid w:val="00800F22"/>
    <w:rsid w:val="0080270B"/>
    <w:rsid w:val="008036F7"/>
    <w:rsid w:val="00807CE8"/>
    <w:rsid w:val="00813110"/>
    <w:rsid w:val="008133B0"/>
    <w:rsid w:val="00815941"/>
    <w:rsid w:val="008177F0"/>
    <w:rsid w:val="008178F5"/>
    <w:rsid w:val="00825AC7"/>
    <w:rsid w:val="00830947"/>
    <w:rsid w:val="00847216"/>
    <w:rsid w:val="00847D66"/>
    <w:rsid w:val="00851066"/>
    <w:rsid w:val="00852ED2"/>
    <w:rsid w:val="00853E22"/>
    <w:rsid w:val="0085749B"/>
    <w:rsid w:val="0086192A"/>
    <w:rsid w:val="0086295F"/>
    <w:rsid w:val="00863CDE"/>
    <w:rsid w:val="00867F14"/>
    <w:rsid w:val="0087282F"/>
    <w:rsid w:val="00877CBA"/>
    <w:rsid w:val="008858D7"/>
    <w:rsid w:val="0088677D"/>
    <w:rsid w:val="008A0474"/>
    <w:rsid w:val="008A0FA7"/>
    <w:rsid w:val="008A3663"/>
    <w:rsid w:val="008A6D13"/>
    <w:rsid w:val="008B5385"/>
    <w:rsid w:val="008B58B8"/>
    <w:rsid w:val="008B765E"/>
    <w:rsid w:val="008C104C"/>
    <w:rsid w:val="008C3A38"/>
    <w:rsid w:val="008C4772"/>
    <w:rsid w:val="008C66BE"/>
    <w:rsid w:val="008D1A51"/>
    <w:rsid w:val="008D6EB5"/>
    <w:rsid w:val="008E1553"/>
    <w:rsid w:val="008E268C"/>
    <w:rsid w:val="008F1C00"/>
    <w:rsid w:val="00901621"/>
    <w:rsid w:val="00904D06"/>
    <w:rsid w:val="00904F52"/>
    <w:rsid w:val="0091190A"/>
    <w:rsid w:val="00917F2E"/>
    <w:rsid w:val="009218D6"/>
    <w:rsid w:val="00926B09"/>
    <w:rsid w:val="0093136C"/>
    <w:rsid w:val="0094120E"/>
    <w:rsid w:val="00946D88"/>
    <w:rsid w:val="00955761"/>
    <w:rsid w:val="009661B7"/>
    <w:rsid w:val="00971814"/>
    <w:rsid w:val="00971F9F"/>
    <w:rsid w:val="00973EF0"/>
    <w:rsid w:val="00976D01"/>
    <w:rsid w:val="00980C02"/>
    <w:rsid w:val="00985312"/>
    <w:rsid w:val="00993817"/>
    <w:rsid w:val="00994501"/>
    <w:rsid w:val="009951D4"/>
    <w:rsid w:val="009A0DFB"/>
    <w:rsid w:val="009A2376"/>
    <w:rsid w:val="009B59B8"/>
    <w:rsid w:val="009C133D"/>
    <w:rsid w:val="009C1E01"/>
    <w:rsid w:val="009C44F2"/>
    <w:rsid w:val="009C62FE"/>
    <w:rsid w:val="009D0500"/>
    <w:rsid w:val="009D31CF"/>
    <w:rsid w:val="009E1274"/>
    <w:rsid w:val="009E1C1C"/>
    <w:rsid w:val="009E4663"/>
    <w:rsid w:val="009E6EA1"/>
    <w:rsid w:val="009E766F"/>
    <w:rsid w:val="009F163D"/>
    <w:rsid w:val="009F28B1"/>
    <w:rsid w:val="009F3B72"/>
    <w:rsid w:val="009F446A"/>
    <w:rsid w:val="009F5052"/>
    <w:rsid w:val="009F7512"/>
    <w:rsid w:val="009F790F"/>
    <w:rsid w:val="009F7AF6"/>
    <w:rsid w:val="009F7F05"/>
    <w:rsid w:val="00A135AE"/>
    <w:rsid w:val="00A2653D"/>
    <w:rsid w:val="00A269CE"/>
    <w:rsid w:val="00A32630"/>
    <w:rsid w:val="00A37BBA"/>
    <w:rsid w:val="00A504A0"/>
    <w:rsid w:val="00A50F9C"/>
    <w:rsid w:val="00A53DF8"/>
    <w:rsid w:val="00A662A5"/>
    <w:rsid w:val="00A70851"/>
    <w:rsid w:val="00A716C4"/>
    <w:rsid w:val="00A72BAE"/>
    <w:rsid w:val="00A73611"/>
    <w:rsid w:val="00A73987"/>
    <w:rsid w:val="00A740FB"/>
    <w:rsid w:val="00A769FD"/>
    <w:rsid w:val="00A7749A"/>
    <w:rsid w:val="00A81CD2"/>
    <w:rsid w:val="00A83A93"/>
    <w:rsid w:val="00A83F0A"/>
    <w:rsid w:val="00A84A49"/>
    <w:rsid w:val="00A94162"/>
    <w:rsid w:val="00A95DB7"/>
    <w:rsid w:val="00A96370"/>
    <w:rsid w:val="00AA49F6"/>
    <w:rsid w:val="00AA4DE4"/>
    <w:rsid w:val="00AB253A"/>
    <w:rsid w:val="00AB5101"/>
    <w:rsid w:val="00AC37E7"/>
    <w:rsid w:val="00AD1B3A"/>
    <w:rsid w:val="00AD5157"/>
    <w:rsid w:val="00AE1178"/>
    <w:rsid w:val="00AE220D"/>
    <w:rsid w:val="00AE64C2"/>
    <w:rsid w:val="00AF04B8"/>
    <w:rsid w:val="00AF05E8"/>
    <w:rsid w:val="00B05448"/>
    <w:rsid w:val="00B062A9"/>
    <w:rsid w:val="00B106E6"/>
    <w:rsid w:val="00B143BF"/>
    <w:rsid w:val="00B20539"/>
    <w:rsid w:val="00B32197"/>
    <w:rsid w:val="00B33C24"/>
    <w:rsid w:val="00B44177"/>
    <w:rsid w:val="00B44208"/>
    <w:rsid w:val="00B44AA4"/>
    <w:rsid w:val="00B45956"/>
    <w:rsid w:val="00B50378"/>
    <w:rsid w:val="00B51C4A"/>
    <w:rsid w:val="00B6086D"/>
    <w:rsid w:val="00B60D19"/>
    <w:rsid w:val="00B611AA"/>
    <w:rsid w:val="00B6229B"/>
    <w:rsid w:val="00B7017D"/>
    <w:rsid w:val="00B71BC4"/>
    <w:rsid w:val="00B724D5"/>
    <w:rsid w:val="00B76920"/>
    <w:rsid w:val="00B77D05"/>
    <w:rsid w:val="00B8238B"/>
    <w:rsid w:val="00B87AC5"/>
    <w:rsid w:val="00B9037B"/>
    <w:rsid w:val="00B94FF5"/>
    <w:rsid w:val="00B96674"/>
    <w:rsid w:val="00BA4288"/>
    <w:rsid w:val="00BA4B6F"/>
    <w:rsid w:val="00BA57CA"/>
    <w:rsid w:val="00BA5C61"/>
    <w:rsid w:val="00BB3AEB"/>
    <w:rsid w:val="00BB6BC3"/>
    <w:rsid w:val="00BD264F"/>
    <w:rsid w:val="00BD512C"/>
    <w:rsid w:val="00BE68C8"/>
    <w:rsid w:val="00BE7797"/>
    <w:rsid w:val="00BE79B9"/>
    <w:rsid w:val="00BF127F"/>
    <w:rsid w:val="00BF465A"/>
    <w:rsid w:val="00BF5362"/>
    <w:rsid w:val="00BF7959"/>
    <w:rsid w:val="00C01F56"/>
    <w:rsid w:val="00C0374E"/>
    <w:rsid w:val="00C06334"/>
    <w:rsid w:val="00C154E1"/>
    <w:rsid w:val="00C205C7"/>
    <w:rsid w:val="00C30808"/>
    <w:rsid w:val="00C35B6D"/>
    <w:rsid w:val="00C460E5"/>
    <w:rsid w:val="00C52C2E"/>
    <w:rsid w:val="00C5688F"/>
    <w:rsid w:val="00C568C1"/>
    <w:rsid w:val="00C571F6"/>
    <w:rsid w:val="00C61F61"/>
    <w:rsid w:val="00C63FCB"/>
    <w:rsid w:val="00C70398"/>
    <w:rsid w:val="00C71D48"/>
    <w:rsid w:val="00C76642"/>
    <w:rsid w:val="00C804CE"/>
    <w:rsid w:val="00C80D8C"/>
    <w:rsid w:val="00C80D9B"/>
    <w:rsid w:val="00C83872"/>
    <w:rsid w:val="00C91B10"/>
    <w:rsid w:val="00C921AF"/>
    <w:rsid w:val="00C96D56"/>
    <w:rsid w:val="00CA132B"/>
    <w:rsid w:val="00CA1540"/>
    <w:rsid w:val="00CA3275"/>
    <w:rsid w:val="00CB3691"/>
    <w:rsid w:val="00CB4280"/>
    <w:rsid w:val="00CC2163"/>
    <w:rsid w:val="00CC2E64"/>
    <w:rsid w:val="00CC3F7A"/>
    <w:rsid w:val="00CC7AA6"/>
    <w:rsid w:val="00CD0992"/>
    <w:rsid w:val="00CD59EA"/>
    <w:rsid w:val="00CD6D21"/>
    <w:rsid w:val="00CE0131"/>
    <w:rsid w:val="00CE0DA3"/>
    <w:rsid w:val="00CE3C6A"/>
    <w:rsid w:val="00CE4C4B"/>
    <w:rsid w:val="00CE5DA1"/>
    <w:rsid w:val="00CE6586"/>
    <w:rsid w:val="00CF3E31"/>
    <w:rsid w:val="00D04BF0"/>
    <w:rsid w:val="00D14773"/>
    <w:rsid w:val="00D15798"/>
    <w:rsid w:val="00D16F4D"/>
    <w:rsid w:val="00D222A0"/>
    <w:rsid w:val="00D23ACD"/>
    <w:rsid w:val="00D25284"/>
    <w:rsid w:val="00D26A4B"/>
    <w:rsid w:val="00D2753C"/>
    <w:rsid w:val="00D335FC"/>
    <w:rsid w:val="00D407E1"/>
    <w:rsid w:val="00D50792"/>
    <w:rsid w:val="00D512FA"/>
    <w:rsid w:val="00D56971"/>
    <w:rsid w:val="00D5710F"/>
    <w:rsid w:val="00D7009F"/>
    <w:rsid w:val="00D70682"/>
    <w:rsid w:val="00D71BAD"/>
    <w:rsid w:val="00D80C3D"/>
    <w:rsid w:val="00D82EFA"/>
    <w:rsid w:val="00D96A3F"/>
    <w:rsid w:val="00D96EF7"/>
    <w:rsid w:val="00DA105D"/>
    <w:rsid w:val="00DA2163"/>
    <w:rsid w:val="00DA3ABF"/>
    <w:rsid w:val="00DA4919"/>
    <w:rsid w:val="00DB20D7"/>
    <w:rsid w:val="00DB3BB2"/>
    <w:rsid w:val="00DB6DA3"/>
    <w:rsid w:val="00DB7DF8"/>
    <w:rsid w:val="00DC6E3B"/>
    <w:rsid w:val="00DD273B"/>
    <w:rsid w:val="00DE2001"/>
    <w:rsid w:val="00DE40C9"/>
    <w:rsid w:val="00DE678D"/>
    <w:rsid w:val="00DF72D5"/>
    <w:rsid w:val="00E012F8"/>
    <w:rsid w:val="00E07D31"/>
    <w:rsid w:val="00E07DAF"/>
    <w:rsid w:val="00E1488A"/>
    <w:rsid w:val="00E148DF"/>
    <w:rsid w:val="00E17752"/>
    <w:rsid w:val="00E217FF"/>
    <w:rsid w:val="00E24CCC"/>
    <w:rsid w:val="00E303AC"/>
    <w:rsid w:val="00E35A69"/>
    <w:rsid w:val="00E3784D"/>
    <w:rsid w:val="00E462F7"/>
    <w:rsid w:val="00E54BD0"/>
    <w:rsid w:val="00E571FC"/>
    <w:rsid w:val="00E57B74"/>
    <w:rsid w:val="00E6620E"/>
    <w:rsid w:val="00E723EA"/>
    <w:rsid w:val="00E74DB2"/>
    <w:rsid w:val="00E82AA1"/>
    <w:rsid w:val="00E84366"/>
    <w:rsid w:val="00E905AC"/>
    <w:rsid w:val="00E9250E"/>
    <w:rsid w:val="00E93E16"/>
    <w:rsid w:val="00E94870"/>
    <w:rsid w:val="00EA402B"/>
    <w:rsid w:val="00EA613C"/>
    <w:rsid w:val="00EA7A1A"/>
    <w:rsid w:val="00EB31E0"/>
    <w:rsid w:val="00EB7121"/>
    <w:rsid w:val="00EB7CCB"/>
    <w:rsid w:val="00EC0EE6"/>
    <w:rsid w:val="00EC3549"/>
    <w:rsid w:val="00EC3D9F"/>
    <w:rsid w:val="00EC4279"/>
    <w:rsid w:val="00EC58B3"/>
    <w:rsid w:val="00EC72BC"/>
    <w:rsid w:val="00ED2326"/>
    <w:rsid w:val="00ED3BC9"/>
    <w:rsid w:val="00ED3E50"/>
    <w:rsid w:val="00EE5971"/>
    <w:rsid w:val="00EE5A18"/>
    <w:rsid w:val="00EE769E"/>
    <w:rsid w:val="00EF1934"/>
    <w:rsid w:val="00EF7037"/>
    <w:rsid w:val="00F01E4A"/>
    <w:rsid w:val="00F0517F"/>
    <w:rsid w:val="00F10062"/>
    <w:rsid w:val="00F10547"/>
    <w:rsid w:val="00F1602D"/>
    <w:rsid w:val="00F213B6"/>
    <w:rsid w:val="00F2480C"/>
    <w:rsid w:val="00F249B1"/>
    <w:rsid w:val="00F26A5A"/>
    <w:rsid w:val="00F2707A"/>
    <w:rsid w:val="00F32C8A"/>
    <w:rsid w:val="00F37509"/>
    <w:rsid w:val="00F3781E"/>
    <w:rsid w:val="00F45B27"/>
    <w:rsid w:val="00F47829"/>
    <w:rsid w:val="00F5103E"/>
    <w:rsid w:val="00F551E6"/>
    <w:rsid w:val="00F55D70"/>
    <w:rsid w:val="00F666F9"/>
    <w:rsid w:val="00F71EDD"/>
    <w:rsid w:val="00F74C07"/>
    <w:rsid w:val="00F75C79"/>
    <w:rsid w:val="00F76584"/>
    <w:rsid w:val="00F76CA9"/>
    <w:rsid w:val="00F76E56"/>
    <w:rsid w:val="00F77D68"/>
    <w:rsid w:val="00F822B2"/>
    <w:rsid w:val="00F84604"/>
    <w:rsid w:val="00F851F5"/>
    <w:rsid w:val="00F9394B"/>
    <w:rsid w:val="00F969E1"/>
    <w:rsid w:val="00FA3C6D"/>
    <w:rsid w:val="00FA6635"/>
    <w:rsid w:val="00FB5DE6"/>
    <w:rsid w:val="00FB5E28"/>
    <w:rsid w:val="00FB740A"/>
    <w:rsid w:val="00FC429B"/>
    <w:rsid w:val="00FC74CE"/>
    <w:rsid w:val="00FC78CF"/>
    <w:rsid w:val="00FD6172"/>
    <w:rsid w:val="00FD6BE2"/>
    <w:rsid w:val="00FE24D6"/>
    <w:rsid w:val="00FE2B5E"/>
    <w:rsid w:val="00FE395A"/>
    <w:rsid w:val="00FF514D"/>
    <w:rsid w:val="00FF630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1077A655"/>
  <w15:docId w15:val="{A0A5AA3D-6180-4E33-8649-AC1624A9A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5284"/>
    <w:rPr>
      <w:sz w:val="24"/>
      <w:szCs w:val="24"/>
    </w:rPr>
  </w:style>
  <w:style w:type="paragraph" w:styleId="berschrift3">
    <w:name w:val="heading 3"/>
    <w:basedOn w:val="Standard"/>
    <w:next w:val="Standard"/>
    <w:qFormat/>
    <w:rsid w:val="0086295F"/>
    <w:pPr>
      <w:keepNext/>
      <w:outlineLvl w:val="2"/>
    </w:pPr>
    <w:rPr>
      <w:rFonts w:ascii="Arial" w:hAnsi="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45E7E"/>
    <w:rPr>
      <w:color w:val="0000FF"/>
      <w:u w:val="single"/>
    </w:rPr>
  </w:style>
  <w:style w:type="paragraph" w:styleId="Sprechblasentext">
    <w:name w:val="Balloon Text"/>
    <w:basedOn w:val="Standard"/>
    <w:semiHidden/>
    <w:rsid w:val="008D6EB5"/>
    <w:rPr>
      <w:rFonts w:ascii="Tahoma" w:hAnsi="Tahoma" w:cs="Tahoma"/>
      <w:sz w:val="16"/>
      <w:szCs w:val="16"/>
    </w:rPr>
  </w:style>
  <w:style w:type="character" w:styleId="BesuchterLink">
    <w:name w:val="FollowedHyperlink"/>
    <w:rsid w:val="003E4D2B"/>
    <w:rPr>
      <w:color w:val="606420"/>
      <w:u w:val="single"/>
    </w:rPr>
  </w:style>
  <w:style w:type="paragraph" w:customStyle="1" w:styleId="berschrift32">
    <w:name w:val="Überschrift 32"/>
    <w:basedOn w:val="Standard"/>
    <w:rsid w:val="00A269CE"/>
    <w:pPr>
      <w:outlineLvl w:val="3"/>
    </w:pPr>
    <w:rPr>
      <w:b/>
      <w:bCs/>
      <w:color w:val="000000"/>
      <w:sz w:val="26"/>
      <w:szCs w:val="26"/>
    </w:rPr>
  </w:style>
  <w:style w:type="paragraph" w:styleId="Beschriftung">
    <w:name w:val="caption"/>
    <w:basedOn w:val="Standard"/>
    <w:next w:val="Standard"/>
    <w:qFormat/>
    <w:rsid w:val="0093136C"/>
    <w:pPr>
      <w:spacing w:before="120" w:after="120"/>
    </w:pPr>
    <w:rPr>
      <w:b/>
      <w:bCs/>
      <w:sz w:val="20"/>
      <w:szCs w:val="20"/>
    </w:rPr>
  </w:style>
  <w:style w:type="paragraph" w:styleId="Kopfzeile">
    <w:name w:val="header"/>
    <w:basedOn w:val="Standard"/>
    <w:rsid w:val="00D80C3D"/>
    <w:pPr>
      <w:tabs>
        <w:tab w:val="center" w:pos="4536"/>
        <w:tab w:val="right" w:pos="9072"/>
      </w:tabs>
    </w:pPr>
  </w:style>
  <w:style w:type="paragraph" w:styleId="Fuzeile">
    <w:name w:val="footer"/>
    <w:basedOn w:val="Standard"/>
    <w:rsid w:val="00D80C3D"/>
    <w:pPr>
      <w:tabs>
        <w:tab w:val="center" w:pos="4536"/>
        <w:tab w:val="right" w:pos="9072"/>
      </w:tabs>
    </w:pPr>
  </w:style>
  <w:style w:type="character" w:styleId="Seitenzahl">
    <w:name w:val="page number"/>
    <w:basedOn w:val="Absatz-Standardschriftart"/>
    <w:rsid w:val="002A0A1F"/>
  </w:style>
  <w:style w:type="paragraph" w:customStyle="1" w:styleId="StandardWeb2">
    <w:name w:val="Standard (Web)2"/>
    <w:basedOn w:val="Standard"/>
    <w:rsid w:val="008F1C00"/>
    <w:rPr>
      <w:color w:val="000000"/>
      <w:sz w:val="26"/>
      <w:szCs w:val="26"/>
    </w:rPr>
  </w:style>
  <w:style w:type="paragraph" w:styleId="Dokumentstruktur">
    <w:name w:val="Document Map"/>
    <w:basedOn w:val="Standard"/>
    <w:semiHidden/>
    <w:rsid w:val="001B36CA"/>
    <w:pPr>
      <w:shd w:val="clear" w:color="auto" w:fill="000080"/>
    </w:pPr>
    <w:rPr>
      <w:rFonts w:ascii="Tahoma" w:hAnsi="Tahoma" w:cs="Tahoma"/>
    </w:rPr>
  </w:style>
  <w:style w:type="paragraph" w:customStyle="1" w:styleId="Default">
    <w:name w:val="Default"/>
    <w:rsid w:val="00EF7037"/>
    <w:pPr>
      <w:autoSpaceDE w:val="0"/>
      <w:autoSpaceDN w:val="0"/>
      <w:adjustRightInd w:val="0"/>
    </w:pPr>
    <w:rPr>
      <w:rFonts w:ascii="LHOGI B+ Univers" w:hAnsi="LHOGI B+ Univers" w:cs="LHOGI B+ Univers"/>
      <w:color w:val="000000"/>
      <w:sz w:val="24"/>
      <w:szCs w:val="24"/>
    </w:rPr>
  </w:style>
  <w:style w:type="paragraph" w:customStyle="1" w:styleId="Hauptberschrift">
    <w:name w:val="Hauptüberschrift"/>
    <w:basedOn w:val="Standard"/>
    <w:rsid w:val="00235ED6"/>
    <w:pPr>
      <w:spacing w:after="120" w:line="360" w:lineRule="auto"/>
    </w:pPr>
    <w:rPr>
      <w:rFonts w:ascii="Arial" w:hAnsi="Arial" w:cs="Arial"/>
      <w:b/>
      <w:sz w:val="36"/>
      <w:szCs w:val="36"/>
    </w:rPr>
  </w:style>
  <w:style w:type="paragraph" w:customStyle="1" w:styleId="Listenabsatz1">
    <w:name w:val="Listenabsatz1"/>
    <w:basedOn w:val="Standard"/>
    <w:rsid w:val="00E57B74"/>
    <w:pPr>
      <w:ind w:left="720"/>
      <w:contextualSpacing/>
    </w:pPr>
  </w:style>
  <w:style w:type="character" w:styleId="Zeilennummer">
    <w:name w:val="line number"/>
    <w:basedOn w:val="Absatz-Standardschriftart"/>
    <w:rsid w:val="00F37509"/>
  </w:style>
  <w:style w:type="paragraph" w:styleId="berarbeitung">
    <w:name w:val="Revision"/>
    <w:hidden/>
    <w:uiPriority w:val="99"/>
    <w:semiHidden/>
    <w:rsid w:val="005310D0"/>
    <w:rPr>
      <w:sz w:val="24"/>
      <w:szCs w:val="24"/>
    </w:rPr>
  </w:style>
  <w:style w:type="character" w:customStyle="1" w:styleId="UnresolvedMention1">
    <w:name w:val="Unresolved Mention1"/>
    <w:basedOn w:val="Absatz-Standardschriftart"/>
    <w:uiPriority w:val="99"/>
    <w:semiHidden/>
    <w:unhideWhenUsed/>
    <w:rsid w:val="004449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7068174">
      <w:bodyDiv w:val="1"/>
      <w:marLeft w:val="0"/>
      <w:marRight w:val="0"/>
      <w:marTop w:val="0"/>
      <w:marBottom w:val="0"/>
      <w:divBdr>
        <w:top w:val="none" w:sz="0" w:space="0" w:color="auto"/>
        <w:left w:val="none" w:sz="0" w:space="0" w:color="auto"/>
        <w:bottom w:val="none" w:sz="0" w:space="0" w:color="auto"/>
        <w:right w:val="none" w:sz="0" w:space="0" w:color="auto"/>
      </w:divBdr>
      <w:divsChild>
        <w:div w:id="1907453821">
          <w:marLeft w:val="0"/>
          <w:marRight w:val="0"/>
          <w:marTop w:val="0"/>
          <w:marBottom w:val="0"/>
          <w:divBdr>
            <w:top w:val="single" w:sz="2" w:space="0" w:color="000000"/>
            <w:left w:val="single" w:sz="6" w:space="0" w:color="98989B"/>
            <w:bottom w:val="single" w:sz="6" w:space="0" w:color="000000"/>
            <w:right w:val="single" w:sz="6" w:space="0" w:color="000000"/>
          </w:divBdr>
          <w:divsChild>
            <w:div w:id="1941572128">
              <w:marLeft w:val="0"/>
              <w:marRight w:val="0"/>
              <w:marTop w:val="0"/>
              <w:marBottom w:val="0"/>
              <w:divBdr>
                <w:top w:val="single" w:sz="2" w:space="0" w:color="000000"/>
                <w:left w:val="single" w:sz="6" w:space="0" w:color="98989B"/>
                <w:bottom w:val="single" w:sz="6" w:space="0" w:color="000000"/>
                <w:right w:val="single" w:sz="6" w:space="0" w:color="000000"/>
              </w:divBdr>
              <w:divsChild>
                <w:div w:id="1442413096">
                  <w:marLeft w:val="0"/>
                  <w:marRight w:val="0"/>
                  <w:marTop w:val="0"/>
                  <w:marBottom w:val="0"/>
                  <w:divBdr>
                    <w:top w:val="single" w:sz="2" w:space="0" w:color="000000"/>
                    <w:left w:val="single" w:sz="6" w:space="0" w:color="98989B"/>
                    <w:bottom w:val="single" w:sz="6" w:space="0" w:color="000000"/>
                    <w:right w:val="single" w:sz="6" w:space="0" w:color="000000"/>
                  </w:divBdr>
                  <w:divsChild>
                    <w:div w:id="7404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671610">
      <w:marLeft w:val="0"/>
      <w:marRight w:val="0"/>
      <w:marTop w:val="21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dex-group.com/openhous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ainer.gondek@index-werke.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5731EE-47DB-402B-981E-5C3591AAC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947</Words>
  <Characters>5405</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PI INDEX Open House 2024</vt:lpstr>
    </vt:vector>
  </TitlesOfParts>
  <Company>INDEX-Werke GmbH &amp; Co. KG</Company>
  <LinksUpToDate>false</LinksUpToDate>
  <CharactersWithSpaces>6340</CharactersWithSpaces>
  <SharedDoc>false</SharedDoc>
  <HLinks>
    <vt:vector size="6" baseType="variant">
      <vt:variant>
        <vt:i4>3473413</vt:i4>
      </vt:variant>
      <vt:variant>
        <vt:i4>0</vt:i4>
      </vt:variant>
      <vt:variant>
        <vt:i4>0</vt:i4>
      </vt:variant>
      <vt:variant>
        <vt:i4>5</vt:i4>
      </vt:variant>
      <vt:variant>
        <vt:lpwstr>mailto:michael.czudaj@index-werke.de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INDEX Open House 2024</dc:title>
  <dc:subject/>
  <dc:creator>INDEX-Werke GmbH &amp; Co. KG</dc:creator>
  <cp:keywords/>
  <dc:description/>
  <cp:lastModifiedBy>Kunze, Kathrin</cp:lastModifiedBy>
  <cp:revision>5</cp:revision>
  <cp:lastPrinted>2023-02-02T14:03:00Z</cp:lastPrinted>
  <dcterms:created xsi:type="dcterms:W3CDTF">2024-02-19T10:11:00Z</dcterms:created>
  <dcterms:modified xsi:type="dcterms:W3CDTF">2024-02-23T08:57:00Z</dcterms:modified>
</cp:coreProperties>
</file>