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3D722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Communiqué de presse du </w:t>
      </w:r>
      <w:r w:rsidR="00341384">
        <w:rPr>
          <w:rFonts w:ascii="Arial" w:hAnsi="Arial"/>
          <w:sz w:val="20"/>
        </w:rPr>
        <w:t>08/03</w:t>
      </w:r>
      <w:bookmarkStart w:id="0" w:name="_GoBack"/>
      <w:bookmarkEnd w:id="0"/>
      <w:r>
        <w:rPr>
          <w:rFonts w:ascii="Arial" w:hAnsi="Arial"/>
          <w:sz w:val="20"/>
        </w:rPr>
        <w:t>/2022</w:t>
      </w:r>
    </w:p>
    <w:p w:rsidR="00D335FC" w:rsidRPr="003D722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3D722D" w:rsidRDefault="006E6820" w:rsidP="00E6620E">
      <w:pPr>
        <w:suppressLineNumbers/>
        <w:ind w:left="142"/>
        <w:outlineLvl w:val="0"/>
        <w:rPr>
          <w:rFonts w:ascii="Arial" w:hAnsi="Arial" w:cs="Arial"/>
          <w:sz w:val="20"/>
          <w:szCs w:val="20"/>
        </w:rPr>
      </w:pPr>
    </w:p>
    <w:p w:rsidR="00415D03" w:rsidRPr="003D722D"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36"/>
          <w:szCs w:val="36"/>
        </w:rPr>
      </w:pPr>
      <w:r>
        <w:rPr>
          <w:rFonts w:ascii="Arial" w:hAnsi="Arial"/>
          <w:sz w:val="36"/>
        </w:rPr>
        <w:t>INDEX Open House 2022 :</w:t>
      </w:r>
    </w:p>
    <w:p w:rsidR="00D335FC" w:rsidRPr="003D722D" w:rsidRDefault="00C25B43" w:rsidP="00D335FC">
      <w:pPr>
        <w:suppressLineNumbers/>
        <w:spacing w:after="240" w:line="264" w:lineRule="auto"/>
        <w:ind w:left="142" w:right="-284"/>
        <w:rPr>
          <w:rFonts w:ascii="Arial" w:hAnsi="Arial" w:cs="Arial"/>
          <w:b/>
          <w:spacing w:val="-2"/>
          <w:sz w:val="36"/>
          <w:szCs w:val="36"/>
        </w:rPr>
      </w:pPr>
      <w:r>
        <w:rPr>
          <w:rFonts w:ascii="Arial" w:hAnsi="Arial"/>
          <w:b/>
          <w:sz w:val="36"/>
        </w:rPr>
        <w:t>L</w:t>
      </w:r>
      <w:r w:rsidR="002D574E">
        <w:rPr>
          <w:rFonts w:ascii="Arial" w:hAnsi="Arial"/>
          <w:b/>
          <w:sz w:val="36"/>
        </w:rPr>
        <w:t>’usinage</w:t>
      </w:r>
      <w:r>
        <w:rPr>
          <w:rFonts w:ascii="Arial" w:hAnsi="Arial"/>
          <w:b/>
          <w:sz w:val="36"/>
        </w:rPr>
        <w:t xml:space="preserve"> et tout autour</w:t>
      </w:r>
    </w:p>
    <w:p w:rsidR="004D5409" w:rsidRPr="002D574E" w:rsidRDefault="00B77D05" w:rsidP="004D5409">
      <w:pPr>
        <w:spacing w:after="200" w:line="360" w:lineRule="auto"/>
        <w:ind w:left="142"/>
        <w:jc w:val="both"/>
        <w:rPr>
          <w:rFonts w:ascii="Arial" w:eastAsiaTheme="minorHAnsi" w:hAnsi="Arial" w:cs="Arial"/>
          <w:b/>
          <w:sz w:val="20"/>
          <w:szCs w:val="20"/>
        </w:rPr>
      </w:pPr>
      <w:r>
        <w:rPr>
          <w:rFonts w:ascii="Arial" w:hAnsi="Arial"/>
          <w:b/>
          <w:sz w:val="20"/>
        </w:rPr>
        <w:t xml:space="preserve">Nous y revoilà. Après une pause forcée en raison de la pandémie de COVID-19, INDEX vous invite à Reichenbach / Fils en Allemagne pour assister </w:t>
      </w:r>
      <w:r w:rsidR="00A542CA">
        <w:rPr>
          <w:rFonts w:ascii="Arial" w:hAnsi="Arial"/>
          <w:b/>
          <w:sz w:val="20"/>
        </w:rPr>
        <w:t>aux</w:t>
      </w:r>
      <w:r>
        <w:rPr>
          <w:rFonts w:ascii="Arial" w:hAnsi="Arial"/>
          <w:b/>
          <w:sz w:val="20"/>
        </w:rPr>
        <w:t xml:space="preserve"> portes ouvert</w:t>
      </w:r>
      <w:r w:rsidR="00A542CA">
        <w:rPr>
          <w:rFonts w:ascii="Arial" w:hAnsi="Arial"/>
          <w:b/>
          <w:sz w:val="20"/>
        </w:rPr>
        <w:t>es « Open House » qui se tiendront</w:t>
      </w:r>
      <w:r>
        <w:rPr>
          <w:rFonts w:ascii="Arial" w:hAnsi="Arial"/>
          <w:b/>
          <w:sz w:val="20"/>
        </w:rPr>
        <w:t xml:space="preserve"> du 26 au 29 avril 2022. Les projecteurs seront braqués sur les solutions et services innovants en </w:t>
      </w:r>
      <w:r w:rsidR="00A542CA">
        <w:rPr>
          <w:rFonts w:ascii="Arial" w:hAnsi="Arial"/>
          <w:b/>
          <w:sz w:val="20"/>
        </w:rPr>
        <w:t>terme</w:t>
      </w:r>
      <w:r>
        <w:rPr>
          <w:rFonts w:ascii="Arial" w:hAnsi="Arial"/>
          <w:b/>
          <w:sz w:val="20"/>
        </w:rPr>
        <w:t xml:space="preserve"> de machines s’articulant autour de l’ens</w:t>
      </w:r>
      <w:r w:rsidR="00A542CA">
        <w:rPr>
          <w:rFonts w:ascii="Arial" w:hAnsi="Arial"/>
          <w:b/>
          <w:sz w:val="20"/>
        </w:rPr>
        <w:t>emble de la chaîne des process usinage</w:t>
      </w:r>
      <w:r>
        <w:rPr>
          <w:rFonts w:ascii="Arial" w:hAnsi="Arial"/>
          <w:b/>
          <w:sz w:val="20"/>
        </w:rPr>
        <w:t xml:space="preserve">. Les visiteurs pourront </w:t>
      </w:r>
      <w:r w:rsidR="00A542CA">
        <w:rPr>
          <w:rFonts w:ascii="Arial" w:hAnsi="Arial"/>
          <w:b/>
          <w:sz w:val="20"/>
        </w:rPr>
        <w:t>découvrir en direct et en live</w:t>
      </w:r>
      <w:r>
        <w:rPr>
          <w:rFonts w:ascii="Arial" w:hAnsi="Arial"/>
          <w:b/>
          <w:sz w:val="20"/>
        </w:rPr>
        <w:t xml:space="preserve"> </w:t>
      </w:r>
      <w:r w:rsidR="00A542CA">
        <w:rPr>
          <w:rFonts w:ascii="Arial" w:hAnsi="Arial"/>
          <w:b/>
          <w:sz w:val="20"/>
        </w:rPr>
        <w:t>un impressionnant</w:t>
      </w:r>
      <w:r>
        <w:rPr>
          <w:rFonts w:ascii="Arial" w:hAnsi="Arial"/>
          <w:b/>
          <w:sz w:val="20"/>
        </w:rPr>
        <w:t xml:space="preserve"> nombre de machines, mais aussi une variété de solutions d'automatisation et les derniers développements sur « iXworld » – l’univers de l’intégration numérique par INDEX. De plus, </w:t>
      </w:r>
      <w:r w:rsidR="00A542CA">
        <w:rPr>
          <w:rFonts w:ascii="Arial" w:hAnsi="Arial"/>
          <w:b/>
          <w:sz w:val="20"/>
        </w:rPr>
        <w:t>nos experts seront là pour échanger et répondre aux questions</w:t>
      </w:r>
      <w:r>
        <w:rPr>
          <w:rFonts w:ascii="Arial" w:hAnsi="Arial"/>
          <w:b/>
          <w:sz w:val="20"/>
        </w:rPr>
        <w:t xml:space="preserve"> </w:t>
      </w:r>
      <w:r w:rsidR="00A542CA">
        <w:rPr>
          <w:rFonts w:ascii="Arial" w:hAnsi="Arial"/>
          <w:b/>
          <w:sz w:val="20"/>
        </w:rPr>
        <w:t>usinage et</w:t>
      </w:r>
      <w:r>
        <w:rPr>
          <w:rFonts w:ascii="Arial" w:hAnsi="Arial"/>
          <w:b/>
          <w:sz w:val="20"/>
        </w:rPr>
        <w:t xml:space="preserve"> industrie.</w:t>
      </w:r>
    </w:p>
    <w:p w:rsidR="00A135AE" w:rsidRDefault="00A542CA" w:rsidP="00A135AE">
      <w:pPr>
        <w:spacing w:after="200" w:line="360" w:lineRule="auto"/>
        <w:ind w:left="142"/>
        <w:jc w:val="both"/>
        <w:rPr>
          <w:rFonts w:ascii="Arial" w:eastAsiaTheme="minorHAnsi" w:hAnsi="Arial" w:cs="Arial"/>
          <w:sz w:val="20"/>
          <w:szCs w:val="20"/>
        </w:rPr>
      </w:pPr>
      <w:r>
        <w:rPr>
          <w:rFonts w:ascii="Arial" w:hAnsi="Arial"/>
          <w:sz w:val="20"/>
        </w:rPr>
        <w:t>Dès</w:t>
      </w:r>
      <w:r w:rsidR="00A135AE">
        <w:rPr>
          <w:rFonts w:ascii="Arial" w:hAnsi="Arial"/>
          <w:sz w:val="20"/>
        </w:rPr>
        <w:t xml:space="preserve"> l’ouverture des portes le mardi 26 avril </w:t>
      </w:r>
      <w:r>
        <w:rPr>
          <w:rFonts w:ascii="Arial" w:hAnsi="Arial"/>
          <w:sz w:val="20"/>
        </w:rPr>
        <w:t>de l’</w:t>
      </w:r>
      <w:r w:rsidR="00A135AE">
        <w:rPr>
          <w:rFonts w:ascii="Arial" w:hAnsi="Arial"/>
          <w:sz w:val="20"/>
        </w:rPr>
        <w:t>Open House </w:t>
      </w:r>
      <w:r>
        <w:rPr>
          <w:rFonts w:ascii="Arial" w:hAnsi="Arial"/>
          <w:sz w:val="20"/>
        </w:rPr>
        <w:t xml:space="preserve">INDEX 2022, les visiteurs, ainsi </w:t>
      </w:r>
      <w:r w:rsidR="00A135AE">
        <w:rPr>
          <w:rFonts w:ascii="Arial" w:hAnsi="Arial"/>
          <w:sz w:val="20"/>
        </w:rPr>
        <w:t xml:space="preserve"> d'INDEX et leurs partenaires, pourront s'attendre à des journées d</w:t>
      </w:r>
      <w:r w:rsidR="00C25B43">
        <w:rPr>
          <w:rFonts w:ascii="Arial" w:hAnsi="Arial"/>
          <w:sz w:val="20"/>
        </w:rPr>
        <w:t>’information</w:t>
      </w:r>
      <w:r w:rsidR="00A135AE">
        <w:rPr>
          <w:rFonts w:ascii="Arial" w:hAnsi="Arial"/>
          <w:sz w:val="20"/>
        </w:rPr>
        <w:t xml:space="preserve"> passionnantes. Jusqu'au vendredi, INDEX offrira aux invités la possibilité de participer à un échange d'inf</w:t>
      </w:r>
      <w:r w:rsidR="00C25B43">
        <w:rPr>
          <w:rFonts w:ascii="Arial" w:hAnsi="Arial"/>
          <w:sz w:val="20"/>
        </w:rPr>
        <w:t>ormations intensif et sous diverses formes</w:t>
      </w:r>
      <w:r w:rsidR="00A135AE">
        <w:rPr>
          <w:rFonts w:ascii="Arial" w:hAnsi="Arial"/>
          <w:sz w:val="20"/>
        </w:rPr>
        <w:t xml:space="preserve"> sur les dernières évol</w:t>
      </w:r>
      <w:r w:rsidR="00C25B43">
        <w:rPr>
          <w:rFonts w:ascii="Arial" w:hAnsi="Arial"/>
          <w:sz w:val="20"/>
        </w:rPr>
        <w:t>utions de la chaîne de process</w:t>
      </w:r>
      <w:r w:rsidR="00A135AE">
        <w:rPr>
          <w:rFonts w:ascii="Arial" w:hAnsi="Arial"/>
          <w:sz w:val="20"/>
        </w:rPr>
        <w:t xml:space="preserve"> « usinage ».</w:t>
      </w:r>
    </w:p>
    <w:p w:rsidR="002C2782" w:rsidRPr="00D335FC" w:rsidRDefault="002F51D6" w:rsidP="002C2782">
      <w:pPr>
        <w:spacing w:after="200" w:line="360" w:lineRule="auto"/>
        <w:ind w:left="142"/>
        <w:jc w:val="both"/>
        <w:rPr>
          <w:rFonts w:ascii="Arial" w:eastAsiaTheme="minorHAnsi" w:hAnsi="Arial" w:cs="Arial"/>
          <w:b/>
          <w:sz w:val="20"/>
          <w:szCs w:val="20"/>
        </w:rPr>
      </w:pPr>
      <w:r>
        <w:rPr>
          <w:rFonts w:ascii="Arial" w:hAnsi="Arial"/>
          <w:b/>
          <w:sz w:val="20"/>
        </w:rPr>
        <w:t>Les tendances : l’usinage intégral, l’usinage complexe</w:t>
      </w:r>
    </w:p>
    <w:p w:rsidR="003D722D" w:rsidRDefault="00B94FF5" w:rsidP="00B94FF5">
      <w:pPr>
        <w:spacing w:after="200" w:line="360" w:lineRule="auto"/>
        <w:ind w:left="142"/>
        <w:jc w:val="both"/>
        <w:rPr>
          <w:rFonts w:ascii="Arial" w:eastAsiaTheme="minorHAnsi" w:hAnsi="Arial" w:cs="Arial"/>
          <w:sz w:val="20"/>
          <w:szCs w:val="20"/>
        </w:rPr>
      </w:pPr>
      <w:r>
        <w:rPr>
          <w:rFonts w:ascii="Arial" w:hAnsi="Arial"/>
          <w:sz w:val="20"/>
        </w:rPr>
        <w:t>Les dernières machines INDEX et TRAUB seront au centre de l'at</w:t>
      </w:r>
      <w:r w:rsidR="00C25B43">
        <w:rPr>
          <w:rFonts w:ascii="Arial" w:hAnsi="Arial"/>
          <w:sz w:val="20"/>
        </w:rPr>
        <w:t>tention – en direct et en live</w:t>
      </w:r>
      <w:r>
        <w:rPr>
          <w:rFonts w:ascii="Arial" w:hAnsi="Arial"/>
          <w:sz w:val="20"/>
        </w:rPr>
        <w:t xml:space="preserve">. Parmi les </w:t>
      </w:r>
      <w:r w:rsidR="00C25B43">
        <w:rPr>
          <w:rFonts w:ascii="Arial" w:hAnsi="Arial"/>
          <w:sz w:val="20"/>
        </w:rPr>
        <w:t>machines exposées</w:t>
      </w:r>
      <w:r>
        <w:rPr>
          <w:rFonts w:ascii="Arial" w:hAnsi="Arial"/>
          <w:sz w:val="20"/>
        </w:rPr>
        <w:t xml:space="preserve"> figurent les dernières nouveautés, telles que la nouvelle génération du "petit" centre de tournage/fraisage INDEX G220. Avec un passage de broche de 76 mm, un diamètre de mandrin de 200 mm et une longueur de tournage de 900 mm, cette taille étend et complète la série G par l’ajout d’un produit aux dimensions plus compactes. Grâce à son </w:t>
      </w:r>
      <w:r w:rsidR="00C25B43">
        <w:rPr>
          <w:rFonts w:ascii="Arial" w:hAnsi="Arial"/>
          <w:sz w:val="20"/>
        </w:rPr>
        <w:t>bâti</w:t>
      </w:r>
      <w:r>
        <w:rPr>
          <w:rFonts w:ascii="Arial" w:hAnsi="Arial"/>
          <w:sz w:val="20"/>
        </w:rPr>
        <w:t xml:space="preserve"> en fonte minérale et à ses guides linéaires généreusement dimensionnés, le G220 offre d'excellentes propriétés en matière de stabilité et d'amortissement ainsi que d’excellentes valeurs dynamiques. Il se caractérise notamment par la motobroche de fraisage avec l'axe Y/B à suspension hydrodynamique ainsi que</w:t>
      </w:r>
      <w:r w:rsidR="00C25B43">
        <w:rPr>
          <w:rFonts w:ascii="Arial" w:hAnsi="Arial"/>
          <w:sz w:val="20"/>
        </w:rPr>
        <w:t xml:space="preserve"> par les deux tourelles du </w:t>
      </w:r>
      <w:r>
        <w:rPr>
          <w:rFonts w:ascii="Arial" w:hAnsi="Arial"/>
          <w:sz w:val="20"/>
        </w:rPr>
        <w:t>bas. Ensemble, ces caractéri</w:t>
      </w:r>
      <w:r w:rsidR="00C25B43">
        <w:rPr>
          <w:rFonts w:ascii="Arial" w:hAnsi="Arial"/>
          <w:sz w:val="20"/>
        </w:rPr>
        <w:t>stiques constituent un process</w:t>
      </w:r>
      <w:r>
        <w:rPr>
          <w:rFonts w:ascii="Arial" w:hAnsi="Arial"/>
          <w:sz w:val="20"/>
        </w:rPr>
        <w:t xml:space="preserve"> d'usinage flexible et hautement productif. </w:t>
      </w:r>
    </w:p>
    <w:p w:rsidR="003D722D" w:rsidRPr="009C62FE" w:rsidRDefault="003D722D" w:rsidP="00B94FF5">
      <w:pPr>
        <w:spacing w:after="200" w:line="360" w:lineRule="auto"/>
        <w:ind w:left="142"/>
        <w:jc w:val="both"/>
        <w:rPr>
          <w:rFonts w:ascii="Arial" w:eastAsiaTheme="minorHAnsi" w:hAnsi="Arial" w:cs="Arial"/>
          <w:sz w:val="20"/>
          <w:szCs w:val="20"/>
        </w:rPr>
      </w:pPr>
      <w:r>
        <w:rPr>
          <w:rFonts w:ascii="Arial" w:hAnsi="Arial"/>
          <w:sz w:val="20"/>
        </w:rPr>
        <w:t>À l’Open House, INDEX présentera son nouvel embarreur MBL 76, lequel est compatible avec le G220. Adapté au nouveau design de la machine ainsi qu'au nouveau diamètre de la broche de tournage, cet embarreur se démarque par ses excellentes propriétés d'amortissement. Son fonctionnement est entièrement électrique, ce qui signifie qu'il est totalement exempt d'hydraulique. Sa structure ergonomique et facile d’utilisation et, bien sûr, son facteur</w:t>
      </w:r>
      <w:r w:rsidR="00C25B43">
        <w:rPr>
          <w:rFonts w:ascii="Arial" w:hAnsi="Arial"/>
          <w:sz w:val="20"/>
        </w:rPr>
        <w:t xml:space="preserve"> de précision élevé sont </w:t>
      </w:r>
      <w:r>
        <w:rPr>
          <w:rFonts w:ascii="Arial" w:hAnsi="Arial"/>
          <w:sz w:val="20"/>
        </w:rPr>
        <w:t>des atouts convaincants. Enfin et surtout, il permet des temps de changement plus rapides que ce n'était le cas jusqu'à présent avec l'INDEX MBL 65.</w:t>
      </w:r>
    </w:p>
    <w:p w:rsidR="002F51D6" w:rsidRPr="00D335FC" w:rsidRDefault="00C25B43" w:rsidP="002F51D6">
      <w:pPr>
        <w:spacing w:after="200" w:line="360" w:lineRule="auto"/>
        <w:ind w:left="142"/>
        <w:jc w:val="both"/>
        <w:rPr>
          <w:rFonts w:ascii="Arial" w:eastAsiaTheme="minorHAnsi" w:hAnsi="Arial" w:cs="Arial"/>
          <w:b/>
          <w:sz w:val="20"/>
          <w:szCs w:val="20"/>
        </w:rPr>
      </w:pPr>
      <w:r>
        <w:rPr>
          <w:rFonts w:ascii="Arial" w:hAnsi="Arial"/>
          <w:b/>
          <w:sz w:val="20"/>
        </w:rPr>
        <w:t xml:space="preserve">Des </w:t>
      </w:r>
      <w:r w:rsidR="002F51D6">
        <w:rPr>
          <w:rFonts w:ascii="Arial" w:hAnsi="Arial"/>
          <w:b/>
          <w:sz w:val="20"/>
        </w:rPr>
        <w:t>machines</w:t>
      </w:r>
      <w:r>
        <w:rPr>
          <w:rFonts w:ascii="Arial" w:hAnsi="Arial"/>
          <w:b/>
          <w:sz w:val="20"/>
        </w:rPr>
        <w:t xml:space="preserve"> performantes... </w:t>
      </w:r>
      <w:r w:rsidR="002F51D6">
        <w:rPr>
          <w:rFonts w:ascii="Arial" w:hAnsi="Arial"/>
          <w:b/>
          <w:sz w:val="20"/>
        </w:rPr>
        <w:t xml:space="preserve">encore </w:t>
      </w:r>
      <w:r>
        <w:rPr>
          <w:rFonts w:ascii="Arial" w:hAnsi="Arial"/>
          <w:b/>
          <w:sz w:val="20"/>
        </w:rPr>
        <w:t>améliorées !</w:t>
      </w:r>
    </w:p>
    <w:p w:rsidR="006A5BF1" w:rsidRDefault="0021387E" w:rsidP="006A5BF1">
      <w:pPr>
        <w:spacing w:after="200" w:line="360" w:lineRule="auto"/>
        <w:ind w:left="142"/>
        <w:jc w:val="both"/>
        <w:rPr>
          <w:rFonts w:ascii="Arial" w:eastAsiaTheme="minorHAnsi" w:hAnsi="Arial" w:cs="Arial"/>
          <w:sz w:val="20"/>
          <w:szCs w:val="20"/>
        </w:rPr>
      </w:pPr>
      <w:r>
        <w:rPr>
          <w:rFonts w:ascii="Arial" w:hAnsi="Arial"/>
          <w:sz w:val="20"/>
        </w:rPr>
        <w:t>Le deuxième point fort de l'exposition est la nouvelle version du tour automatique CNC ABC à succès qui se caractérise surtout par des améliorations majeures apportées à la tourelle supérieure. Il s'agit notamment d'un axe de déplacement électronique indexable, de la fonctionnalité Y, du réglage de la hauteur et de la possibilité d’équiper le tour</w:t>
      </w:r>
      <w:r w:rsidR="00C25B43">
        <w:rPr>
          <w:rFonts w:ascii="Arial" w:hAnsi="Arial"/>
          <w:sz w:val="20"/>
        </w:rPr>
        <w:t xml:space="preserve"> de porte-outils doubles. Bien sûr</w:t>
      </w:r>
      <w:r>
        <w:rPr>
          <w:rFonts w:ascii="Arial" w:hAnsi="Arial"/>
          <w:sz w:val="20"/>
        </w:rPr>
        <w:t>, INDEX a conservé les caractéristiques appréciées du modèle actue</w:t>
      </w:r>
      <w:r w:rsidR="00C25B43">
        <w:rPr>
          <w:rFonts w:ascii="Arial" w:hAnsi="Arial"/>
          <w:sz w:val="20"/>
        </w:rPr>
        <w:t xml:space="preserve">l qui a fait ses preuves : </w:t>
      </w:r>
      <w:r>
        <w:rPr>
          <w:rFonts w:ascii="Arial" w:hAnsi="Arial"/>
          <w:sz w:val="20"/>
        </w:rPr>
        <w:t xml:space="preserve">le concept de la machine, </w:t>
      </w:r>
      <w:r w:rsidR="00C25B43">
        <w:rPr>
          <w:rFonts w:ascii="Arial" w:hAnsi="Arial"/>
          <w:sz w:val="20"/>
        </w:rPr>
        <w:t>la zone de travail</w:t>
      </w:r>
      <w:r>
        <w:rPr>
          <w:rFonts w:ascii="Arial" w:hAnsi="Arial"/>
          <w:sz w:val="20"/>
        </w:rPr>
        <w:t xml:space="preserve"> et l’encombrement qui sont restés exactement les mêmes. Tous les programmes de pièces existants fonctionnent comme avant, sans perte de temps ni de qualité de l’usinage.</w:t>
      </w:r>
    </w:p>
    <w:p w:rsidR="00C80D9B" w:rsidRPr="00D335FC" w:rsidRDefault="00C80D9B" w:rsidP="00C80D9B">
      <w:pPr>
        <w:spacing w:after="200" w:line="360" w:lineRule="auto"/>
        <w:ind w:left="142"/>
        <w:jc w:val="both"/>
        <w:rPr>
          <w:rFonts w:ascii="Arial" w:eastAsiaTheme="minorHAnsi" w:hAnsi="Arial" w:cs="Arial"/>
          <w:b/>
          <w:sz w:val="20"/>
          <w:szCs w:val="20"/>
        </w:rPr>
      </w:pPr>
      <w:r>
        <w:rPr>
          <w:rFonts w:ascii="Arial" w:hAnsi="Arial"/>
          <w:b/>
          <w:sz w:val="20"/>
        </w:rPr>
        <w:t>Les besoins du marché sont satisfaits</w:t>
      </w:r>
    </w:p>
    <w:p w:rsidR="002D574E" w:rsidRDefault="0079786D" w:rsidP="00422AE3">
      <w:pPr>
        <w:spacing w:after="200" w:line="360" w:lineRule="auto"/>
        <w:ind w:left="142"/>
        <w:jc w:val="both"/>
        <w:rPr>
          <w:rFonts w:ascii="Arial" w:eastAsiaTheme="minorHAnsi" w:hAnsi="Arial" w:cs="Arial"/>
          <w:sz w:val="20"/>
          <w:szCs w:val="20"/>
        </w:rPr>
      </w:pPr>
      <w:r>
        <w:rPr>
          <w:rFonts w:ascii="Arial" w:hAnsi="Arial"/>
          <w:sz w:val="20"/>
        </w:rPr>
        <w:t xml:space="preserve">Le nouveau tour TRAUB TNL12 à poupée mobile, qui peut facilement être converti en tour à poupée fixe, ne devrait pas non plus manquer d’attirer l’attention des visiteurs. Par rapport à son prédécesseur, il séduit par son design plus compact et une cinématique améliorée. Ce sont là des conditions idéales pour augmenter de manière significative la productivité lorsqu'il s'agit de petites pièces </w:t>
      </w:r>
      <w:r w:rsidR="00F17704">
        <w:rPr>
          <w:rFonts w:ascii="Arial" w:hAnsi="Arial"/>
          <w:sz w:val="20"/>
        </w:rPr>
        <w:t>de tournage de haute précision</w:t>
      </w:r>
      <w:r>
        <w:rPr>
          <w:rFonts w:ascii="Arial" w:hAnsi="Arial"/>
          <w:sz w:val="20"/>
        </w:rPr>
        <w:t>.</w:t>
      </w:r>
    </w:p>
    <w:p w:rsidR="0079786D" w:rsidRDefault="0079786D" w:rsidP="00422AE3">
      <w:pPr>
        <w:spacing w:after="200" w:line="360" w:lineRule="auto"/>
        <w:ind w:left="142"/>
        <w:jc w:val="both"/>
        <w:rPr>
          <w:rFonts w:ascii="Arial" w:eastAsiaTheme="minorHAnsi" w:hAnsi="Arial" w:cs="Arial"/>
          <w:sz w:val="20"/>
          <w:szCs w:val="20"/>
        </w:rPr>
      </w:pPr>
      <w:r>
        <w:rPr>
          <w:rFonts w:ascii="Arial" w:hAnsi="Arial"/>
          <w:sz w:val="20"/>
        </w:rPr>
        <w:t xml:space="preserve">Ceux qui souhaitent expérimenter des opérations de tournage ultra rentables ne doivent absolument pas manquer la présentation du tour multibroche CNC INDEX MS24-6. Comparé à son prédécesseur MS22-6, il affiche un diamètre maximal de barre légèrement supérieur, </w:t>
      </w:r>
      <w:r w:rsidR="00F17704">
        <w:rPr>
          <w:rFonts w:ascii="Arial" w:hAnsi="Arial"/>
          <w:sz w:val="20"/>
        </w:rPr>
        <w:t>avec</w:t>
      </w:r>
      <w:r>
        <w:rPr>
          <w:rFonts w:ascii="Arial" w:hAnsi="Arial"/>
          <w:sz w:val="20"/>
        </w:rPr>
        <w:t xml:space="preserve"> une conception globale plus compacte, et il est doté de nombreuses fonctionnalités. Dans l'optique d'une diminution des quantités, le concept d’équipement optimisé est extrêmeme</w:t>
      </w:r>
      <w:r w:rsidR="00F17704">
        <w:rPr>
          <w:rFonts w:ascii="Arial" w:hAnsi="Arial"/>
          <w:sz w:val="20"/>
        </w:rPr>
        <w:t>nt important. Le système de serr</w:t>
      </w:r>
      <w:r>
        <w:rPr>
          <w:rFonts w:ascii="Arial" w:hAnsi="Arial"/>
          <w:sz w:val="20"/>
        </w:rPr>
        <w:t>age rapide IN</w:t>
      </w:r>
      <w:r w:rsidR="00F17704">
        <w:rPr>
          <w:rFonts w:ascii="Arial" w:hAnsi="Arial"/>
          <w:sz w:val="20"/>
        </w:rPr>
        <w:t xml:space="preserve">DEX à denture en W intégrée </w:t>
      </w:r>
      <w:r>
        <w:rPr>
          <w:rFonts w:ascii="Arial" w:hAnsi="Arial"/>
          <w:sz w:val="20"/>
        </w:rPr>
        <w:t>y contribue.</w:t>
      </w:r>
    </w:p>
    <w:p w:rsidR="002C2782" w:rsidRPr="00D335FC" w:rsidRDefault="00C80D9B" w:rsidP="002C2782">
      <w:pPr>
        <w:spacing w:after="200" w:line="360" w:lineRule="auto"/>
        <w:ind w:left="142"/>
        <w:jc w:val="both"/>
        <w:rPr>
          <w:rFonts w:ascii="Arial" w:eastAsiaTheme="minorHAnsi" w:hAnsi="Arial" w:cs="Arial"/>
          <w:b/>
          <w:sz w:val="20"/>
          <w:szCs w:val="20"/>
        </w:rPr>
      </w:pPr>
      <w:r>
        <w:rPr>
          <w:rFonts w:ascii="Arial" w:hAnsi="Arial"/>
          <w:b/>
          <w:sz w:val="20"/>
        </w:rPr>
        <w:t>Pas d’automatisation, pas de futur</w:t>
      </w:r>
    </w:p>
    <w:p w:rsidR="0079786D" w:rsidRDefault="00463188" w:rsidP="0079786D">
      <w:pPr>
        <w:spacing w:after="200" w:line="360" w:lineRule="auto"/>
        <w:ind w:left="142"/>
        <w:jc w:val="both"/>
        <w:rPr>
          <w:rFonts w:ascii="Arial" w:eastAsiaTheme="minorHAnsi" w:hAnsi="Arial" w:cs="Arial"/>
          <w:sz w:val="20"/>
          <w:szCs w:val="20"/>
        </w:rPr>
      </w:pPr>
      <w:r>
        <w:rPr>
          <w:rFonts w:ascii="Arial" w:hAnsi="Arial"/>
          <w:sz w:val="20"/>
        </w:rPr>
        <w:t xml:space="preserve">Que serait la technologie des machines les plus avancées aujourd'hui sans la bonne solution d'automatisation ? INDEX répond à la demande croissante avec diverses solutions, lesquelles vont du simple dispositif d'enlèvement des pièces intégré aux machines jusqu'aux solutions robotiques externes sophistiquées. </w:t>
      </w:r>
    </w:p>
    <w:p w:rsidR="00994501" w:rsidRPr="00D335FC" w:rsidRDefault="009F7512" w:rsidP="0079786D">
      <w:pPr>
        <w:spacing w:after="200" w:line="360" w:lineRule="auto"/>
        <w:ind w:left="142"/>
        <w:jc w:val="both"/>
        <w:rPr>
          <w:rFonts w:ascii="Arial" w:eastAsiaTheme="minorHAnsi" w:hAnsi="Arial" w:cs="Arial"/>
          <w:sz w:val="20"/>
          <w:szCs w:val="20"/>
        </w:rPr>
      </w:pPr>
      <w:r>
        <w:rPr>
          <w:rFonts w:ascii="Arial" w:hAnsi="Arial"/>
          <w:sz w:val="20"/>
        </w:rPr>
        <w:t>L'étendue de l'expertise d'INDEX en matière d'automatisation est visible avant tout sur le nouveau grand iXcenter, présenté sur le centre de tournage/fraisage INDEX G420. Ce système modulaire se compose d’une cabine de robot installée devant la machine, sur laquelle différents modules peuvent être greffés : des modules de palettes/rayonnages, des postes de mesure/contrôle ainsi que des dispositifs d’ébavurage, de nettoyage, de marquage au laser, etc.</w:t>
      </w:r>
    </w:p>
    <w:p w:rsidR="002C2782" w:rsidRPr="00D335FC" w:rsidRDefault="00CE0131" w:rsidP="002C2782">
      <w:pPr>
        <w:spacing w:after="200" w:line="360" w:lineRule="auto"/>
        <w:ind w:left="142"/>
        <w:jc w:val="both"/>
        <w:rPr>
          <w:rFonts w:ascii="Arial" w:eastAsiaTheme="minorHAnsi" w:hAnsi="Arial" w:cs="Arial"/>
          <w:b/>
          <w:sz w:val="20"/>
          <w:szCs w:val="20"/>
        </w:rPr>
      </w:pPr>
      <w:r>
        <w:rPr>
          <w:rFonts w:ascii="Arial" w:hAnsi="Arial"/>
          <w:b/>
          <w:sz w:val="20"/>
        </w:rPr>
        <w:t xml:space="preserve">Des solutions numériques inspirantes </w:t>
      </w:r>
    </w:p>
    <w:p w:rsidR="006A6F2B" w:rsidRDefault="00CC2E64" w:rsidP="00192759">
      <w:pPr>
        <w:spacing w:after="200" w:line="360" w:lineRule="auto"/>
        <w:ind w:left="142"/>
        <w:jc w:val="both"/>
        <w:rPr>
          <w:rFonts w:ascii="Arial" w:hAnsi="Arial"/>
          <w:sz w:val="20"/>
        </w:rPr>
      </w:pPr>
      <w:r>
        <w:rPr>
          <w:rFonts w:ascii="Arial" w:hAnsi="Arial"/>
          <w:sz w:val="20"/>
        </w:rPr>
        <w:t xml:space="preserve">Si nous cherchons à tirer des enseignements positifs de la pandémie de COVID-19, c'est le fait qu'elle a accéléré la </w:t>
      </w:r>
      <w:r w:rsidR="00F17704">
        <w:rPr>
          <w:rFonts w:ascii="Arial" w:hAnsi="Arial"/>
          <w:sz w:val="20"/>
        </w:rPr>
        <w:t>digitalisation</w:t>
      </w:r>
      <w:r>
        <w:rPr>
          <w:rFonts w:ascii="Arial" w:hAnsi="Arial"/>
          <w:sz w:val="20"/>
        </w:rPr>
        <w:t xml:space="preserve"> tant dans notre vie privée que dans le monde du </w:t>
      </w:r>
      <w:r>
        <w:rPr>
          <w:rFonts w:ascii="Arial" w:hAnsi="Arial"/>
          <w:sz w:val="20"/>
        </w:rPr>
        <w:lastRenderedPageBreak/>
        <w:t>travail. Et pour cette raison la plateforme INDEX iXworld, basée sur le cloud, peut également bénéficier du grand intérêt qu'elle suscite actuellement. L’univers numérique d'INDEX évolue à une vitesse fulgurante depuis des années déjà et son importance en matière de productivité élevée dans le domaine de l'usinage a déjà été ressentie par de nombreux clients. L'élément central de l'iXworld est la plateforme INDEX IoT iX4.0 et ses innombrables applications iX4.0, lesquelles ont toutes été optimisées pour répondre aux besoins et aux attentes des clients. Alors, à quoi cela ressemble-t-</w:t>
      </w:r>
      <w:r w:rsidR="00F17704">
        <w:rPr>
          <w:rFonts w:ascii="Arial" w:hAnsi="Arial"/>
          <w:sz w:val="20"/>
        </w:rPr>
        <w:t xml:space="preserve">il concrètement </w:t>
      </w:r>
      <w:r>
        <w:rPr>
          <w:rFonts w:ascii="Arial" w:hAnsi="Arial"/>
          <w:sz w:val="20"/>
        </w:rPr>
        <w:t xml:space="preserve">? </w:t>
      </w:r>
      <w:r w:rsidR="00F17704">
        <w:rPr>
          <w:rFonts w:ascii="Arial" w:hAnsi="Arial"/>
          <w:sz w:val="20"/>
        </w:rPr>
        <w:t>C’est ce que l</w:t>
      </w:r>
      <w:r>
        <w:rPr>
          <w:rFonts w:ascii="Arial" w:hAnsi="Arial"/>
          <w:sz w:val="20"/>
        </w:rPr>
        <w:t>es visiteu</w:t>
      </w:r>
      <w:r w:rsidR="00F17704">
        <w:rPr>
          <w:rFonts w:ascii="Arial" w:hAnsi="Arial"/>
          <w:sz w:val="20"/>
        </w:rPr>
        <w:t xml:space="preserve">rs de l'Open House 2022 vont </w:t>
      </w:r>
      <w:r w:rsidR="00341384">
        <w:rPr>
          <w:rFonts w:ascii="Arial" w:hAnsi="Arial"/>
          <w:sz w:val="20"/>
        </w:rPr>
        <w:t>découvrir</w:t>
      </w:r>
      <w:r w:rsidR="00F17704">
        <w:rPr>
          <w:rFonts w:ascii="Arial" w:hAnsi="Arial"/>
          <w:sz w:val="20"/>
        </w:rPr>
        <w:t>.</w:t>
      </w:r>
    </w:p>
    <w:p w:rsidR="00747230" w:rsidRPr="00D335FC" w:rsidRDefault="001B2FB1" w:rsidP="00747230">
      <w:pPr>
        <w:spacing w:after="200" w:line="360" w:lineRule="auto"/>
        <w:ind w:left="142"/>
        <w:jc w:val="both"/>
        <w:rPr>
          <w:rFonts w:ascii="Arial" w:eastAsiaTheme="minorHAnsi" w:hAnsi="Arial" w:cs="Arial"/>
          <w:b/>
          <w:sz w:val="20"/>
          <w:szCs w:val="20"/>
        </w:rPr>
      </w:pPr>
      <w:r>
        <w:rPr>
          <w:rFonts w:ascii="Arial" w:hAnsi="Arial"/>
          <w:b/>
          <w:sz w:val="20"/>
        </w:rPr>
        <w:t>Meet The Experts</w:t>
      </w:r>
    </w:p>
    <w:p w:rsidR="00062E38" w:rsidRPr="009C62FE" w:rsidRDefault="003C6139" w:rsidP="00C80D9B">
      <w:pPr>
        <w:spacing w:after="200" w:line="360" w:lineRule="auto"/>
        <w:ind w:left="142"/>
        <w:jc w:val="both"/>
        <w:rPr>
          <w:rFonts w:ascii="Arial" w:eastAsiaTheme="minorHAnsi" w:hAnsi="Arial" w:cs="Arial"/>
          <w:sz w:val="20"/>
          <w:szCs w:val="20"/>
        </w:rPr>
      </w:pPr>
      <w:r>
        <w:rPr>
          <w:rFonts w:ascii="Arial" w:hAnsi="Arial"/>
          <w:sz w:val="20"/>
        </w:rPr>
        <w:t>En plus de la présentation des machines INDEX et TRAUB</w:t>
      </w:r>
      <w:r w:rsidR="00F17704">
        <w:rPr>
          <w:rFonts w:ascii="Arial" w:hAnsi="Arial"/>
          <w:sz w:val="20"/>
        </w:rPr>
        <w:t xml:space="preserve"> et l’exposition de </w:t>
      </w:r>
      <w:r>
        <w:rPr>
          <w:rFonts w:ascii="Arial" w:hAnsi="Arial"/>
          <w:sz w:val="20"/>
        </w:rPr>
        <w:t>30 entreprises partenaires – INDEX invite tous les visiteurs à consolider leurs connaissances</w:t>
      </w:r>
      <w:r w:rsidR="00F17704">
        <w:rPr>
          <w:rFonts w:ascii="Arial" w:hAnsi="Arial"/>
          <w:sz w:val="20"/>
        </w:rPr>
        <w:t xml:space="preserve"> sur des sujets technologiques clés</w:t>
      </w:r>
      <w:r>
        <w:rPr>
          <w:rFonts w:ascii="Arial" w:hAnsi="Arial"/>
          <w:sz w:val="20"/>
        </w:rPr>
        <w:t> : par le biais de conférences et de discussions spécialisées avec des experts des domaines de l'automatisation, de la numérisation, de l'approvisionnement, du r</w:t>
      </w:r>
      <w:r w:rsidR="00F17704">
        <w:rPr>
          <w:rFonts w:ascii="Arial" w:hAnsi="Arial"/>
          <w:sz w:val="20"/>
        </w:rPr>
        <w:t>efit</w:t>
      </w:r>
      <w:r w:rsidR="00D564F2">
        <w:rPr>
          <w:rFonts w:ascii="Arial" w:hAnsi="Arial"/>
          <w:sz w:val="20"/>
        </w:rPr>
        <w:t>, etc. Qui plus est, les spécialistes INDEX  des secteurs Médical, Aéronautique et Electromobilité</w:t>
      </w:r>
      <w:r>
        <w:rPr>
          <w:rFonts w:ascii="Arial" w:hAnsi="Arial"/>
          <w:sz w:val="20"/>
        </w:rPr>
        <w:t xml:space="preserve"> seront disponibles pour discuter de </w:t>
      </w:r>
      <w:r w:rsidR="00D564F2">
        <w:rPr>
          <w:rFonts w:ascii="Arial" w:hAnsi="Arial"/>
          <w:sz w:val="20"/>
        </w:rPr>
        <w:t>vos</w:t>
      </w:r>
      <w:r w:rsidR="00F17704">
        <w:rPr>
          <w:rFonts w:ascii="Arial" w:hAnsi="Arial"/>
          <w:sz w:val="20"/>
        </w:rPr>
        <w:t xml:space="preserve"> problématiques </w:t>
      </w:r>
      <w:r w:rsidR="00D564F2">
        <w:rPr>
          <w:rFonts w:ascii="Arial" w:hAnsi="Arial"/>
          <w:sz w:val="20"/>
        </w:rPr>
        <w:t xml:space="preserve">et </w:t>
      </w:r>
      <w:r>
        <w:rPr>
          <w:rFonts w:ascii="Arial" w:hAnsi="Arial"/>
          <w:sz w:val="20"/>
        </w:rPr>
        <w:t>solutions d'usinage.</w:t>
      </w:r>
    </w:p>
    <w:p w:rsidR="003D722D" w:rsidRPr="003D722D" w:rsidRDefault="003D722D" w:rsidP="00F32C8A">
      <w:pPr>
        <w:spacing w:after="200" w:line="360" w:lineRule="auto"/>
        <w:ind w:left="142"/>
        <w:jc w:val="both"/>
        <w:rPr>
          <w:rFonts w:ascii="Arial" w:eastAsiaTheme="minorHAnsi" w:hAnsi="Arial" w:cs="Arial"/>
          <w:sz w:val="20"/>
          <w:szCs w:val="20"/>
        </w:rPr>
      </w:pPr>
      <w:r>
        <w:rPr>
          <w:rFonts w:ascii="Arial" w:hAnsi="Arial"/>
          <w:sz w:val="20"/>
        </w:rPr>
        <w:t xml:space="preserve">Le jeudi soir à partir de 16h30, les visiteurs pourront </w:t>
      </w:r>
      <w:r w:rsidR="00D564F2">
        <w:rPr>
          <w:rFonts w:ascii="Arial" w:hAnsi="Arial"/>
          <w:sz w:val="20"/>
        </w:rPr>
        <w:t>finir la journée avec un spectacle et apprécier</w:t>
      </w:r>
      <w:r>
        <w:rPr>
          <w:rFonts w:ascii="Arial" w:hAnsi="Arial"/>
          <w:sz w:val="20"/>
        </w:rPr>
        <w:t> : le magicien Marco Miele (connu de la télévision et de la radio) et aussi le groupe "La Diri".</w:t>
      </w:r>
    </w:p>
    <w:p w:rsidR="003D722D" w:rsidRPr="003D722D" w:rsidRDefault="003D722D" w:rsidP="00F32C8A">
      <w:pPr>
        <w:spacing w:after="200" w:line="360" w:lineRule="auto"/>
        <w:ind w:left="142"/>
        <w:jc w:val="both"/>
        <w:rPr>
          <w:rFonts w:ascii="Arial" w:eastAsiaTheme="minorHAnsi" w:hAnsi="Arial" w:cs="Arial"/>
          <w:sz w:val="20"/>
          <w:szCs w:val="20"/>
          <w:lang w:eastAsia="en-US"/>
        </w:rPr>
      </w:pPr>
    </w:p>
    <w:p w:rsidR="00F32C8A" w:rsidRPr="00D335FC" w:rsidRDefault="00F32C8A" w:rsidP="00F32C8A">
      <w:pPr>
        <w:spacing w:after="200" w:line="360" w:lineRule="auto"/>
        <w:ind w:left="142"/>
        <w:jc w:val="both"/>
        <w:rPr>
          <w:rFonts w:ascii="Arial" w:eastAsiaTheme="minorHAnsi" w:hAnsi="Arial" w:cs="Arial"/>
          <w:sz w:val="20"/>
          <w:szCs w:val="20"/>
        </w:rPr>
      </w:pPr>
      <w:r>
        <w:rPr>
          <w:rFonts w:ascii="Arial" w:hAnsi="Arial"/>
          <w:sz w:val="20"/>
        </w:rPr>
        <w:t xml:space="preserve">Inscriptions à l’événement « Open House » du groupe INDEX à Reichenbach et informations complémentaires sur </w:t>
      </w:r>
      <w:hyperlink r:id="rId8" w:history="1">
        <w:r>
          <w:rPr>
            <w:rStyle w:val="Hyperlink"/>
            <w:rFonts w:ascii="Arial" w:hAnsi="Arial"/>
            <w:sz w:val="20"/>
          </w:rPr>
          <w:t>www.index-werke.de/openhouse</w:t>
        </w:r>
      </w:hyperlink>
    </w:p>
    <w:p w:rsidR="00F32C8A" w:rsidRPr="00D335FC" w:rsidRDefault="00F32C8A" w:rsidP="00F32C8A">
      <w:pPr>
        <w:suppressLineNumbers/>
        <w:spacing w:line="336" w:lineRule="auto"/>
        <w:ind w:left="142" w:right="1843"/>
        <w:rPr>
          <w:rFonts w:ascii="Arial" w:hAnsi="Arial" w:cs="Arial"/>
          <w:sz w:val="20"/>
          <w:szCs w:val="20"/>
        </w:rPr>
      </w:pPr>
    </w:p>
    <w:p w:rsidR="00F32C8A" w:rsidRPr="00ED35C7" w:rsidRDefault="00F32C8A" w:rsidP="00F32C8A">
      <w:pPr>
        <w:suppressLineNumbers/>
        <w:spacing w:line="336" w:lineRule="auto"/>
        <w:ind w:left="142" w:right="1843"/>
        <w:rPr>
          <w:rFonts w:ascii="Arial" w:hAnsi="Arial" w:cs="Arial"/>
          <w:sz w:val="20"/>
          <w:szCs w:val="20"/>
          <w:lang w:val="de-DE"/>
        </w:rPr>
      </w:pPr>
      <w:r w:rsidRPr="00A542CA">
        <w:rPr>
          <w:rFonts w:ascii="Arial" w:hAnsi="Arial"/>
          <w:b/>
          <w:sz w:val="20"/>
          <w:lang w:val="en-US"/>
        </w:rPr>
        <w:t>Contact :</w:t>
      </w:r>
      <w:r w:rsidRPr="00A542CA">
        <w:rPr>
          <w:rFonts w:ascii="Arial" w:hAnsi="Arial"/>
          <w:sz w:val="20"/>
          <w:lang w:val="en-US"/>
        </w:rPr>
        <w:tab/>
        <w:t xml:space="preserve">INDEX-Werke GmbH &amp; Co. </w:t>
      </w:r>
      <w:r w:rsidRPr="00ED35C7">
        <w:rPr>
          <w:rFonts w:ascii="Arial" w:hAnsi="Arial"/>
          <w:sz w:val="20"/>
          <w:lang w:val="de-DE"/>
        </w:rPr>
        <w:t>KG Hahn &amp; Tessky</w:t>
      </w:r>
    </w:p>
    <w:p w:rsidR="00F32C8A" w:rsidRPr="00ED35C7" w:rsidRDefault="00F32C8A" w:rsidP="00F32C8A">
      <w:pPr>
        <w:suppressLineNumbers/>
        <w:spacing w:line="336" w:lineRule="auto"/>
        <w:ind w:left="709" w:right="1843" w:firstLine="709"/>
        <w:rPr>
          <w:rFonts w:ascii="Arial" w:hAnsi="Arial" w:cs="Arial"/>
          <w:sz w:val="20"/>
          <w:szCs w:val="20"/>
          <w:lang w:val="de-DE"/>
        </w:rPr>
      </w:pPr>
      <w:r w:rsidRPr="00ED35C7">
        <w:rPr>
          <w:rFonts w:ascii="Arial" w:hAnsi="Arial"/>
          <w:sz w:val="20"/>
          <w:lang w:val="de-DE"/>
        </w:rPr>
        <w:t>Rainer Gondek</w:t>
      </w:r>
    </w:p>
    <w:p w:rsidR="00F32C8A" w:rsidRPr="00ED35C7" w:rsidRDefault="00F32C8A" w:rsidP="00F32C8A">
      <w:pPr>
        <w:suppressLineNumbers/>
        <w:spacing w:line="336" w:lineRule="auto"/>
        <w:ind w:left="709" w:right="1843" w:firstLine="709"/>
        <w:rPr>
          <w:rFonts w:ascii="Arial" w:hAnsi="Arial" w:cs="Arial"/>
          <w:sz w:val="20"/>
          <w:szCs w:val="20"/>
          <w:lang w:val="de-DE"/>
        </w:rPr>
      </w:pPr>
      <w:r w:rsidRPr="00ED35C7">
        <w:rPr>
          <w:rFonts w:ascii="Arial" w:hAnsi="Arial"/>
          <w:sz w:val="20"/>
          <w:lang w:val="de-DE"/>
        </w:rPr>
        <w:t xml:space="preserve">Directeur Global Marketing </w:t>
      </w:r>
    </w:p>
    <w:p w:rsidR="00F32C8A" w:rsidRPr="00ED35C7" w:rsidRDefault="00F32C8A" w:rsidP="00F32C8A">
      <w:pPr>
        <w:suppressLineNumbers/>
        <w:spacing w:line="336" w:lineRule="auto"/>
        <w:ind w:left="709" w:right="1843" w:firstLine="709"/>
        <w:rPr>
          <w:rFonts w:ascii="Arial" w:hAnsi="Arial" w:cs="Arial"/>
          <w:sz w:val="20"/>
          <w:szCs w:val="20"/>
          <w:lang w:val="de-DE"/>
        </w:rPr>
      </w:pPr>
      <w:r w:rsidRPr="00ED35C7">
        <w:rPr>
          <w:rFonts w:ascii="Arial" w:hAnsi="Arial"/>
          <w:sz w:val="20"/>
          <w:lang w:val="de-DE"/>
        </w:rPr>
        <w:t>Tél. : +49 (711) 3191-1286</w:t>
      </w:r>
    </w:p>
    <w:p w:rsidR="00ED35C7" w:rsidRDefault="00341384" w:rsidP="00ED35C7">
      <w:pPr>
        <w:spacing w:after="200" w:line="360" w:lineRule="auto"/>
        <w:jc w:val="both"/>
        <w:rPr>
          <w:rFonts w:ascii="Arial" w:hAnsi="Arial"/>
          <w:sz w:val="20"/>
          <w:lang w:val="de-DE"/>
        </w:rPr>
      </w:pPr>
      <w:hyperlink r:id="rId9" w:history="1">
        <w:r w:rsidR="009C62FE" w:rsidRPr="00ED35C7">
          <w:rPr>
            <w:rStyle w:val="Hyperlink"/>
            <w:rFonts w:ascii="Arial" w:hAnsi="Arial"/>
            <w:sz w:val="20"/>
            <w:lang w:val="de-DE"/>
          </w:rPr>
          <w:t>rainer.gondek@index-werke.de</w:t>
        </w:r>
      </w:hyperlink>
      <w:r w:rsidR="009C62FE" w:rsidRPr="00ED35C7">
        <w:rPr>
          <w:rFonts w:ascii="Arial" w:hAnsi="Arial"/>
          <w:sz w:val="20"/>
          <w:lang w:val="de-DE"/>
        </w:rPr>
        <w:t xml:space="preserve"> </w:t>
      </w:r>
    </w:p>
    <w:p w:rsidR="00ED35C7" w:rsidRDefault="00ED35C7" w:rsidP="00ED35C7">
      <w:pPr>
        <w:spacing w:after="200" w:line="360" w:lineRule="auto"/>
        <w:jc w:val="both"/>
        <w:rPr>
          <w:rFonts w:ascii="Arial" w:hAnsi="Arial"/>
          <w:sz w:val="20"/>
          <w:lang w:val="de-DE"/>
        </w:rPr>
      </w:pPr>
    </w:p>
    <w:p w:rsidR="00ED35C7" w:rsidRPr="00341384" w:rsidRDefault="00ED35C7" w:rsidP="00ED35C7">
      <w:pPr>
        <w:spacing w:after="200" w:line="360" w:lineRule="auto"/>
        <w:jc w:val="both"/>
        <w:rPr>
          <w:rFonts w:ascii="Arial" w:hAnsi="Arial"/>
          <w:b/>
          <w:sz w:val="20"/>
          <w:lang w:val="de-DE"/>
        </w:rPr>
      </w:pPr>
      <w:r w:rsidRPr="00341384">
        <w:rPr>
          <w:rFonts w:ascii="Arial" w:hAnsi="Arial"/>
          <w:b/>
          <w:sz w:val="20"/>
          <w:lang w:val="de-DE"/>
        </w:rPr>
        <w:t>Photos</w:t>
      </w:r>
    </w:p>
    <w:p w:rsidR="00ED35C7" w:rsidRPr="00ED35C7" w:rsidRDefault="00ED35C7" w:rsidP="00ED35C7">
      <w:pPr>
        <w:spacing w:after="200" w:line="360" w:lineRule="auto"/>
        <w:jc w:val="both"/>
        <w:rPr>
          <w:rFonts w:ascii="Arial" w:hAnsi="Arial" w:cstheme="minorBidi"/>
          <w:color w:val="1F497D" w:themeColor="dark2"/>
          <w:sz w:val="20"/>
          <w:lang w:eastAsia="zh-CN"/>
        </w:rPr>
      </w:pPr>
      <w:r w:rsidRPr="00ED35C7">
        <w:rPr>
          <w:rFonts w:ascii="Arial" w:hAnsi="Arial"/>
          <w:sz w:val="20"/>
        </w:rPr>
        <w:t>#</w:t>
      </w:r>
      <w:r w:rsidRPr="00ED35C7">
        <w:rPr>
          <w:rFonts w:ascii="Arial" w:hAnsi="Arial" w:cstheme="minorBidi"/>
          <w:color w:val="1F497D" w:themeColor="dark2"/>
          <w:sz w:val="20"/>
          <w:lang w:eastAsia="zh-CN"/>
        </w:rPr>
        <w:t xml:space="preserve"> 1: </w:t>
      </w:r>
      <w:r>
        <w:rPr>
          <w:rFonts w:ascii="Arial" w:hAnsi="Arial" w:cstheme="minorBidi"/>
          <w:color w:val="1F497D" w:themeColor="dark2"/>
          <w:sz w:val="20"/>
          <w:lang w:eastAsia="zh-CN"/>
        </w:rPr>
        <w:t>L</w:t>
      </w:r>
      <w:r>
        <w:rPr>
          <w:rFonts w:ascii="Arial" w:hAnsi="Arial"/>
          <w:sz w:val="20"/>
        </w:rPr>
        <w:t>a nouvelle génération du "petit" centre de tournage/fraisage INDEX G220</w:t>
      </w:r>
    </w:p>
    <w:p w:rsidR="00ED35C7" w:rsidRDefault="00ED35C7" w:rsidP="00ED35C7">
      <w:pPr>
        <w:spacing w:after="200" w:line="360" w:lineRule="auto"/>
        <w:jc w:val="both"/>
        <w:rPr>
          <w:rFonts w:ascii="Arial" w:hAnsi="Arial" w:cstheme="minorBidi"/>
          <w:color w:val="1F497D" w:themeColor="dark2"/>
          <w:sz w:val="20"/>
          <w:lang w:val="de-DE" w:eastAsia="zh-CN"/>
        </w:rPr>
      </w:pPr>
      <w:r w:rsidRPr="001A4133">
        <w:rPr>
          <w:rFonts w:ascii="Arial" w:eastAsiaTheme="minorHAnsi" w:hAnsi="Arial" w:cs="Arial"/>
          <w:b/>
          <w:noProof/>
          <w:sz w:val="20"/>
          <w:szCs w:val="20"/>
          <w:lang w:eastAsia="zh-CN"/>
        </w:rPr>
        <w:drawing>
          <wp:inline distT="0" distB="0" distL="0" distR="0" wp14:anchorId="220D080B" wp14:editId="68FA472A">
            <wp:extent cx="2407530" cy="2114550"/>
            <wp:effectExtent l="0" t="0" r="0" b="0"/>
            <wp:docPr id="2" name="Grafik 2" descr="\\Infs-12\index\index_intern\VMW_intern\Messen\2022\10-Open_House 26.04-29.04\Presse\g220_1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s-12\index\index_intern\VMW_intern\Messen\2022\10-Open_House 26.04-29.04\Presse\g220_1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6684" cy="2122590"/>
                    </a:xfrm>
                    <a:prstGeom prst="rect">
                      <a:avLst/>
                    </a:prstGeom>
                    <a:noFill/>
                    <a:ln>
                      <a:noFill/>
                    </a:ln>
                  </pic:spPr>
                </pic:pic>
              </a:graphicData>
            </a:graphic>
          </wp:inline>
        </w:drawing>
      </w:r>
    </w:p>
    <w:p w:rsidR="00ED35C7" w:rsidRPr="00ED35C7" w:rsidRDefault="00ED35C7" w:rsidP="00ED35C7">
      <w:pPr>
        <w:spacing w:after="200" w:line="360" w:lineRule="auto"/>
        <w:jc w:val="both"/>
        <w:rPr>
          <w:rFonts w:ascii="Arial" w:hAnsi="Arial" w:cstheme="minorBidi"/>
          <w:color w:val="1F497D" w:themeColor="dark2"/>
          <w:sz w:val="20"/>
          <w:lang w:eastAsia="zh-CN"/>
        </w:rPr>
      </w:pPr>
      <w:r w:rsidRPr="00341384">
        <w:rPr>
          <w:rFonts w:ascii="Arial" w:hAnsi="Arial" w:cstheme="minorBidi"/>
          <w:sz w:val="20"/>
          <w:lang w:eastAsia="zh-CN"/>
        </w:rPr>
        <w:t>#</w:t>
      </w:r>
      <w:r w:rsidRPr="00341384">
        <w:rPr>
          <w:rFonts w:ascii="Arial" w:hAnsi="Arial" w:cstheme="minorBidi"/>
          <w:sz w:val="20"/>
          <w:lang w:eastAsia="zh-CN"/>
        </w:rPr>
        <w:t xml:space="preserve"> 2: </w:t>
      </w:r>
      <w:r w:rsidRPr="00341384">
        <w:rPr>
          <w:rFonts w:ascii="Arial" w:hAnsi="Arial" w:cstheme="minorBidi"/>
          <w:sz w:val="20"/>
          <w:lang w:eastAsia="zh-CN"/>
        </w:rPr>
        <w:t>C</w:t>
      </w:r>
      <w:r w:rsidRPr="00341384">
        <w:rPr>
          <w:rFonts w:ascii="Arial" w:hAnsi="Arial"/>
          <w:sz w:val="20"/>
        </w:rPr>
        <w:t>entre de tournage/fraisage IND</w:t>
      </w:r>
      <w:r>
        <w:rPr>
          <w:rFonts w:ascii="Arial" w:hAnsi="Arial"/>
          <w:sz w:val="20"/>
        </w:rPr>
        <w:t>EX G220</w:t>
      </w:r>
    </w:p>
    <w:p w:rsidR="00ED35C7" w:rsidRPr="00ED35C7" w:rsidRDefault="00ED35C7" w:rsidP="00ED35C7">
      <w:pPr>
        <w:spacing w:after="200" w:line="360" w:lineRule="auto"/>
        <w:jc w:val="both"/>
        <w:rPr>
          <w:rFonts w:ascii="Arial" w:hAnsi="Arial" w:cstheme="minorBidi"/>
          <w:color w:val="1F497D" w:themeColor="dark2"/>
          <w:sz w:val="20"/>
          <w:lang w:eastAsia="zh-CN"/>
        </w:rPr>
      </w:pPr>
    </w:p>
    <w:p w:rsidR="00ED35C7" w:rsidRDefault="00ED35C7" w:rsidP="00ED35C7">
      <w:pPr>
        <w:spacing w:after="200" w:line="360" w:lineRule="auto"/>
        <w:jc w:val="both"/>
        <w:rPr>
          <w:rFonts w:ascii="Arial" w:hAnsi="Arial" w:cstheme="minorBidi"/>
          <w:color w:val="1F497D" w:themeColor="dark2"/>
          <w:sz w:val="20"/>
          <w:lang w:val="de-DE" w:eastAsia="zh-CN"/>
        </w:rPr>
      </w:pPr>
      <w:r w:rsidRPr="001A4133">
        <w:rPr>
          <w:rFonts w:ascii="Arial" w:hAnsi="Arial" w:cstheme="minorBidi"/>
          <w:noProof/>
          <w:color w:val="1F497D" w:themeColor="dark2"/>
          <w:sz w:val="20"/>
          <w:lang w:eastAsia="zh-CN"/>
        </w:rPr>
        <w:drawing>
          <wp:inline distT="0" distB="0" distL="0" distR="0" wp14:anchorId="667F203F" wp14:editId="3604FFDB">
            <wp:extent cx="1504950" cy="2002429"/>
            <wp:effectExtent l="0" t="0" r="0" b="0"/>
            <wp:docPr id="1" name="Grafik 1" descr="\\Infs-12\index\index_intern\VMW_intern\Marketingdokumente\INDEX_G300_G320\Bilder\Bilder_G320\g320_10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INDEX_G300_G320\Bilder\Bilder_G320\g320_1009-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650" cy="2011343"/>
                    </a:xfrm>
                    <a:prstGeom prst="rect">
                      <a:avLst/>
                    </a:prstGeom>
                    <a:noFill/>
                    <a:ln>
                      <a:noFill/>
                    </a:ln>
                  </pic:spPr>
                </pic:pic>
              </a:graphicData>
            </a:graphic>
          </wp:inline>
        </w:drawing>
      </w:r>
    </w:p>
    <w:p w:rsidR="00ED35C7" w:rsidRPr="00ED35C7" w:rsidRDefault="00ED35C7" w:rsidP="00ED35C7">
      <w:pPr>
        <w:spacing w:after="200" w:line="360" w:lineRule="auto"/>
        <w:jc w:val="both"/>
        <w:rPr>
          <w:rFonts w:ascii="Arial" w:hAnsi="Arial" w:cstheme="minorBidi"/>
          <w:color w:val="1F497D" w:themeColor="dark2"/>
          <w:sz w:val="20"/>
          <w:lang w:eastAsia="zh-CN"/>
        </w:rPr>
      </w:pPr>
      <w:r w:rsidRPr="00341384">
        <w:rPr>
          <w:rFonts w:ascii="Arial" w:hAnsi="Arial" w:cstheme="minorBidi"/>
          <w:sz w:val="20"/>
          <w:lang w:eastAsia="zh-CN"/>
        </w:rPr>
        <w:t>#</w:t>
      </w:r>
      <w:r w:rsidRPr="00341384">
        <w:rPr>
          <w:rFonts w:ascii="Arial" w:hAnsi="Arial" w:cstheme="minorBidi"/>
          <w:sz w:val="20"/>
          <w:lang w:eastAsia="zh-CN"/>
        </w:rPr>
        <w:t xml:space="preserve"> 3: </w:t>
      </w:r>
      <w:r w:rsidRPr="00341384">
        <w:rPr>
          <w:rFonts w:ascii="Arial" w:hAnsi="Arial" w:cstheme="minorBidi"/>
          <w:sz w:val="20"/>
          <w:lang w:eastAsia="zh-CN"/>
        </w:rPr>
        <w:t>La</w:t>
      </w:r>
      <w:r w:rsidRPr="00341384">
        <w:rPr>
          <w:rFonts w:ascii="Arial" w:hAnsi="Arial"/>
          <w:sz w:val="20"/>
        </w:rPr>
        <w:t xml:space="preserve"> nouvelle </w:t>
      </w:r>
      <w:r>
        <w:rPr>
          <w:rFonts w:ascii="Arial" w:hAnsi="Arial"/>
          <w:sz w:val="20"/>
        </w:rPr>
        <w:t>version du tour automatique CNC ABC</w:t>
      </w:r>
    </w:p>
    <w:p w:rsidR="00ED35C7" w:rsidRDefault="00ED35C7" w:rsidP="00ED35C7">
      <w:pPr>
        <w:spacing w:after="200" w:line="360" w:lineRule="auto"/>
        <w:jc w:val="both"/>
        <w:rPr>
          <w:rFonts w:ascii="Arial" w:hAnsi="Arial" w:cstheme="minorBidi"/>
          <w:color w:val="1F497D" w:themeColor="dark2"/>
          <w:sz w:val="20"/>
          <w:lang w:val="de-DE" w:eastAsia="zh-CN"/>
        </w:rPr>
      </w:pPr>
      <w:r w:rsidRPr="001A4133">
        <w:rPr>
          <w:rFonts w:ascii="Arial" w:eastAsiaTheme="minorHAnsi" w:hAnsi="Arial" w:cs="Arial"/>
          <w:noProof/>
          <w:sz w:val="20"/>
          <w:szCs w:val="20"/>
          <w:lang w:eastAsia="zh-CN"/>
        </w:rPr>
        <w:drawing>
          <wp:inline distT="0" distB="0" distL="0" distR="0" wp14:anchorId="23EC9AE9" wp14:editId="46FF96A4">
            <wp:extent cx="2095500" cy="1674516"/>
            <wp:effectExtent l="0" t="0" r="0" b="1905"/>
            <wp:docPr id="3" name="Grafik 3" descr="\\Infs-12\index\index_intern\VMW_intern\Marketingdokumente\INDEX_ABC_2021\Bilder\abc_1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arketingdokumente\INDEX_ABC_2021\Bilder\abc_1024-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0349" cy="1678391"/>
                    </a:xfrm>
                    <a:prstGeom prst="rect">
                      <a:avLst/>
                    </a:prstGeom>
                    <a:noFill/>
                    <a:ln>
                      <a:noFill/>
                    </a:ln>
                  </pic:spPr>
                </pic:pic>
              </a:graphicData>
            </a:graphic>
          </wp:inline>
        </w:drawing>
      </w:r>
    </w:p>
    <w:p w:rsidR="00ED35C7" w:rsidRDefault="00ED35C7" w:rsidP="00ED35C7">
      <w:pPr>
        <w:spacing w:after="200" w:line="360" w:lineRule="auto"/>
        <w:jc w:val="both"/>
        <w:rPr>
          <w:rFonts w:ascii="Arial" w:hAnsi="Arial" w:cstheme="minorBidi"/>
          <w:color w:val="1F497D" w:themeColor="dark2"/>
          <w:sz w:val="20"/>
          <w:lang w:val="de-DE" w:eastAsia="zh-CN"/>
        </w:rPr>
      </w:pPr>
    </w:p>
    <w:p w:rsidR="00ED35C7" w:rsidRPr="00341384" w:rsidRDefault="00ED35C7" w:rsidP="00341384">
      <w:pPr>
        <w:spacing w:after="200" w:line="360" w:lineRule="auto"/>
        <w:ind w:left="142"/>
        <w:jc w:val="both"/>
        <w:rPr>
          <w:rFonts w:ascii="Arial" w:eastAsiaTheme="minorHAnsi" w:hAnsi="Arial" w:cs="Arial"/>
          <w:sz w:val="20"/>
          <w:szCs w:val="20"/>
          <w:lang w:eastAsia="en-US"/>
        </w:rPr>
      </w:pPr>
      <w:r w:rsidRPr="00341384">
        <w:rPr>
          <w:rFonts w:ascii="Arial" w:hAnsi="Arial" w:cstheme="minorBidi"/>
          <w:sz w:val="20"/>
          <w:lang w:eastAsia="zh-CN"/>
        </w:rPr>
        <w:t>#</w:t>
      </w:r>
      <w:r w:rsidRPr="00341384">
        <w:rPr>
          <w:rFonts w:ascii="Arial" w:hAnsi="Arial" w:cstheme="minorBidi"/>
          <w:sz w:val="20"/>
          <w:lang w:eastAsia="zh-CN"/>
        </w:rPr>
        <w:t xml:space="preserve"> 4: </w:t>
      </w:r>
      <w:r w:rsidR="00341384" w:rsidRPr="00341384">
        <w:rPr>
          <w:rFonts w:ascii="Arial" w:hAnsi="Arial"/>
          <w:sz w:val="20"/>
        </w:rPr>
        <w:t>Le nouveau tour TRAUB TNL12 à poupée mobile, qui peut facilement être converti en tour à poupée</w:t>
      </w:r>
    </w:p>
    <w:p w:rsidR="00ED35C7" w:rsidRPr="00ED35C7" w:rsidRDefault="00ED35C7" w:rsidP="00ED35C7">
      <w:pPr>
        <w:spacing w:after="200" w:line="360" w:lineRule="auto"/>
        <w:jc w:val="both"/>
        <w:rPr>
          <w:rFonts w:ascii="Arial" w:hAnsi="Arial" w:cstheme="minorBidi"/>
          <w:color w:val="1F497D" w:themeColor="dark2"/>
          <w:sz w:val="20"/>
          <w:lang w:val="de-DE" w:eastAsia="zh-CN"/>
        </w:rPr>
      </w:pPr>
      <w:r w:rsidRPr="00000C75">
        <w:rPr>
          <w:rFonts w:ascii="Arial" w:hAnsi="Arial" w:cstheme="minorBidi"/>
          <w:noProof/>
          <w:color w:val="1F497D" w:themeColor="dark2"/>
          <w:sz w:val="20"/>
          <w:lang w:eastAsia="zh-CN"/>
        </w:rPr>
        <w:drawing>
          <wp:inline distT="0" distB="0" distL="0" distR="0" wp14:anchorId="39F1852B" wp14:editId="018E91D3">
            <wp:extent cx="1985673" cy="1704975"/>
            <wp:effectExtent l="0" t="0" r="0" b="0"/>
            <wp:docPr id="4" name="Grafik 4" descr="\\Infs-12\index\index_intern\VMW_intern\Marketingdokumente\TRAUB_TNL12\Bilder\tnl12_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s-12\index\index_intern\VMW_intern\Marketingdokumente\TRAUB_TNL12\Bilder\tnl12_100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7930" cy="1715499"/>
                    </a:xfrm>
                    <a:prstGeom prst="rect">
                      <a:avLst/>
                    </a:prstGeom>
                    <a:noFill/>
                    <a:ln>
                      <a:noFill/>
                    </a:ln>
                  </pic:spPr>
                </pic:pic>
              </a:graphicData>
            </a:graphic>
          </wp:inline>
        </w:drawing>
      </w:r>
    </w:p>
    <w:p w:rsidR="00ED35C7" w:rsidRPr="00341384" w:rsidRDefault="00ED35C7" w:rsidP="00ED35C7">
      <w:pPr>
        <w:spacing w:after="200" w:line="360" w:lineRule="auto"/>
        <w:ind w:left="142"/>
        <w:jc w:val="both"/>
        <w:rPr>
          <w:rFonts w:ascii="Arial" w:hAnsi="Arial" w:cstheme="minorBidi"/>
          <w:sz w:val="20"/>
          <w:lang w:eastAsia="zh-CN"/>
        </w:rPr>
      </w:pPr>
      <w:r w:rsidRPr="00341384">
        <w:rPr>
          <w:rFonts w:ascii="Arial" w:hAnsi="Arial" w:cstheme="minorBidi"/>
          <w:sz w:val="20"/>
          <w:lang w:eastAsia="zh-CN"/>
        </w:rPr>
        <w:t>#</w:t>
      </w:r>
      <w:r w:rsidRPr="00341384">
        <w:rPr>
          <w:rFonts w:ascii="Arial" w:hAnsi="Arial" w:cstheme="minorBidi"/>
          <w:sz w:val="20"/>
          <w:lang w:eastAsia="zh-CN"/>
        </w:rPr>
        <w:t xml:space="preserve"> 5: Logo</w:t>
      </w:r>
      <w:r w:rsidR="00341384">
        <w:rPr>
          <w:rFonts w:ascii="Arial" w:hAnsi="Arial" w:cstheme="minorBidi"/>
          <w:sz w:val="20"/>
          <w:lang w:eastAsia="zh-CN"/>
        </w:rPr>
        <w:t xml:space="preserve"> INDEX</w:t>
      </w:r>
    </w:p>
    <w:p w:rsidR="00F32C8A" w:rsidRPr="00ED35C7" w:rsidRDefault="00ED35C7" w:rsidP="00ED35C7">
      <w:pPr>
        <w:suppressLineNumbers/>
        <w:spacing w:line="336" w:lineRule="auto"/>
        <w:ind w:left="709" w:right="1843" w:firstLine="709"/>
        <w:rPr>
          <w:rFonts w:ascii="Arial" w:hAnsi="Arial" w:cs="Arial"/>
          <w:sz w:val="20"/>
          <w:szCs w:val="20"/>
          <w:lang w:val="de-DE"/>
        </w:rPr>
      </w:pPr>
      <w:r>
        <w:rPr>
          <w:rFonts w:ascii="Arial" w:eastAsiaTheme="minorHAnsi" w:hAnsi="Arial" w:cs="Arial"/>
          <w:noProof/>
          <w:sz w:val="20"/>
          <w:szCs w:val="20"/>
          <w:lang w:val="de-DE" w:eastAsia="zh-CN"/>
        </w:rPr>
        <w:drawing>
          <wp:inline distT="0" distB="0" distL="0" distR="0">
            <wp:extent cx="1266825" cy="276225"/>
            <wp:effectExtent l="0" t="0" r="9525" b="9525"/>
            <wp:docPr id="5" name="Grafik 5" descr="INDEX-35mm-RGB_Pe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35mm-RGB_Petro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
    <w:sectPr w:rsidR="00F32C8A" w:rsidRPr="00ED35C7" w:rsidSect="00E84366">
      <w:headerReference w:type="default" r:id="rId15"/>
      <w:footerReference w:type="default" r:id="rId16"/>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956" w:rsidRDefault="00B45956">
      <w:r>
        <w:separator/>
      </w:r>
    </w:p>
  </w:endnote>
  <w:endnote w:type="continuationSeparator" w:id="0">
    <w:p w:rsidR="00B45956" w:rsidRDefault="00B4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7E" w:rsidRPr="002A0A1F" w:rsidRDefault="0021387E">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341384">
      <w:rPr>
        <w:rStyle w:val="Seitenzahl"/>
        <w:rFonts w:ascii="Arial" w:hAnsi="Arial" w:cs="Arial"/>
        <w:noProof/>
        <w:sz w:val="18"/>
      </w:rPr>
      <w:t>4</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341384">
      <w:rPr>
        <w:rStyle w:val="Seitenzahl"/>
        <w:rFonts w:ascii="Arial" w:hAnsi="Arial" w:cs="Arial"/>
        <w:noProof/>
        <w:sz w:val="18"/>
      </w:rPr>
      <w:t>5</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956" w:rsidRDefault="00B45956">
      <w:r>
        <w:separator/>
      </w:r>
    </w:p>
  </w:footnote>
  <w:footnote w:type="continuationSeparator" w:id="0">
    <w:p w:rsidR="00B45956" w:rsidRDefault="00B45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87E" w:rsidRPr="003D200C" w:rsidRDefault="0021387E" w:rsidP="00825AC7">
    <w:pPr>
      <w:pStyle w:val="Kopfzeile"/>
      <w:tabs>
        <w:tab w:val="clear" w:pos="9072"/>
        <w:tab w:val="right" w:pos="9360"/>
      </w:tabs>
      <w:ind w:left="2544" w:right="-1418" w:firstLine="4296"/>
    </w:pPr>
    <w:r>
      <w:tab/>
    </w:r>
    <w:r>
      <w:rPr>
        <w:noProof/>
        <w:lang w:val="de-DE"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21387E" w:rsidRDefault="0021387E" w:rsidP="008C66BE">
    <w:pPr>
      <w:pStyle w:val="Kopfzeile"/>
      <w:tabs>
        <w:tab w:val="clear" w:pos="4536"/>
        <w:tab w:val="clear" w:pos="9072"/>
      </w:tabs>
      <w:ind w:left="6840"/>
      <w:jc w:val="right"/>
      <w:rPr>
        <w:rFonts w:ascii="Arial" w:hAnsi="Arial" w:cs="Arial"/>
        <w:sz w:val="16"/>
        <w:lang w:val="en-US"/>
      </w:rPr>
    </w:pPr>
  </w:p>
  <w:p w:rsidR="0021387E" w:rsidRPr="008178F5" w:rsidRDefault="0021387E"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2022</w:t>
    </w:r>
  </w:p>
  <w:p w:rsidR="0021387E" w:rsidRPr="003D200C" w:rsidRDefault="0021387E"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21387E" w:rsidRPr="003D200C" w:rsidRDefault="0021387E" w:rsidP="00AE64C2">
    <w:pPr>
      <w:pStyle w:val="Kopfzeile"/>
      <w:tabs>
        <w:tab w:val="clear" w:pos="4536"/>
        <w:tab w:val="clear" w:pos="9072"/>
      </w:tabs>
      <w:ind w:left="6840"/>
      <w:jc w:val="right"/>
      <w:rPr>
        <w:rFonts w:ascii="Arial" w:hAnsi="Arial" w:cs="Arial"/>
        <w:sz w:val="16"/>
        <w:lang w:val="en-US"/>
      </w:rPr>
    </w:pPr>
  </w:p>
  <w:p w:rsidR="0021387E" w:rsidRPr="00AE64C2" w:rsidRDefault="002138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62E38"/>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4120"/>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2FB1"/>
    <w:rsid w:val="001B36CA"/>
    <w:rsid w:val="001B39F6"/>
    <w:rsid w:val="001B7AF4"/>
    <w:rsid w:val="001E05DD"/>
    <w:rsid w:val="001E1539"/>
    <w:rsid w:val="00201559"/>
    <w:rsid w:val="00206324"/>
    <w:rsid w:val="00207497"/>
    <w:rsid w:val="00207885"/>
    <w:rsid w:val="00211AF2"/>
    <w:rsid w:val="00212595"/>
    <w:rsid w:val="0021387E"/>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D574E"/>
    <w:rsid w:val="002E4C83"/>
    <w:rsid w:val="002E52C6"/>
    <w:rsid w:val="002E572F"/>
    <w:rsid w:val="002E74F7"/>
    <w:rsid w:val="002F1927"/>
    <w:rsid w:val="002F40C9"/>
    <w:rsid w:val="002F51C3"/>
    <w:rsid w:val="002F51D6"/>
    <w:rsid w:val="002F7069"/>
    <w:rsid w:val="0030559E"/>
    <w:rsid w:val="0030733E"/>
    <w:rsid w:val="003240E3"/>
    <w:rsid w:val="00334401"/>
    <w:rsid w:val="00341384"/>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722D"/>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786D"/>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25AC7"/>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2376"/>
    <w:rsid w:val="009B59B8"/>
    <w:rsid w:val="009C133D"/>
    <w:rsid w:val="009C1E01"/>
    <w:rsid w:val="009C44F2"/>
    <w:rsid w:val="009C62FE"/>
    <w:rsid w:val="009D31CF"/>
    <w:rsid w:val="009E1274"/>
    <w:rsid w:val="009E1C1C"/>
    <w:rsid w:val="009E4663"/>
    <w:rsid w:val="009E6EA1"/>
    <w:rsid w:val="009F163D"/>
    <w:rsid w:val="009F28B1"/>
    <w:rsid w:val="009F3B72"/>
    <w:rsid w:val="009F446A"/>
    <w:rsid w:val="009F5052"/>
    <w:rsid w:val="009F7512"/>
    <w:rsid w:val="009F790F"/>
    <w:rsid w:val="009F7F05"/>
    <w:rsid w:val="00A135AE"/>
    <w:rsid w:val="00A269CE"/>
    <w:rsid w:val="00A32630"/>
    <w:rsid w:val="00A37BBA"/>
    <w:rsid w:val="00A50F9C"/>
    <w:rsid w:val="00A53DF8"/>
    <w:rsid w:val="00A542CA"/>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45956"/>
    <w:rsid w:val="00B50378"/>
    <w:rsid w:val="00B6086D"/>
    <w:rsid w:val="00B60D19"/>
    <w:rsid w:val="00B611AA"/>
    <w:rsid w:val="00B6229B"/>
    <w:rsid w:val="00B71BC4"/>
    <w:rsid w:val="00B724D5"/>
    <w:rsid w:val="00B76920"/>
    <w:rsid w:val="00B77D05"/>
    <w:rsid w:val="00B87AC5"/>
    <w:rsid w:val="00B9037B"/>
    <w:rsid w:val="00B94FF5"/>
    <w:rsid w:val="00B96674"/>
    <w:rsid w:val="00BA4288"/>
    <w:rsid w:val="00BA4B6F"/>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25B43"/>
    <w:rsid w:val="00C35B6D"/>
    <w:rsid w:val="00C460E5"/>
    <w:rsid w:val="00C52C2E"/>
    <w:rsid w:val="00C5688F"/>
    <w:rsid w:val="00C571F6"/>
    <w:rsid w:val="00C63FCB"/>
    <w:rsid w:val="00C71D48"/>
    <w:rsid w:val="00C76642"/>
    <w:rsid w:val="00C80D8C"/>
    <w:rsid w:val="00C80D9B"/>
    <w:rsid w:val="00C83872"/>
    <w:rsid w:val="00C91B10"/>
    <w:rsid w:val="00C921AF"/>
    <w:rsid w:val="00C96D56"/>
    <w:rsid w:val="00CA132B"/>
    <w:rsid w:val="00CA1540"/>
    <w:rsid w:val="00CA3275"/>
    <w:rsid w:val="00CB3691"/>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4F2"/>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B7CCB"/>
    <w:rsid w:val="00EC0EE6"/>
    <w:rsid w:val="00EC3D9F"/>
    <w:rsid w:val="00EC4279"/>
    <w:rsid w:val="00EC58B3"/>
    <w:rsid w:val="00EC72BC"/>
    <w:rsid w:val="00ED35C7"/>
    <w:rsid w:val="00ED3E50"/>
    <w:rsid w:val="00EE5A18"/>
    <w:rsid w:val="00EF1934"/>
    <w:rsid w:val="00EF7037"/>
    <w:rsid w:val="00F01E4A"/>
    <w:rsid w:val="00F0517F"/>
    <w:rsid w:val="00F10062"/>
    <w:rsid w:val="00F10547"/>
    <w:rsid w:val="00F17704"/>
    <w:rsid w:val="00F249B1"/>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C7EA90"/>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openhouse"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649B2-5BA3-40AA-8E69-1E1EEF4B6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1148</Words>
  <Characters>6512</Characters>
  <Application>Microsoft Office Word</Application>
  <DocSecurity>4</DocSecurity>
  <Lines>54</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PI INDEX Open House 2022</vt:lpstr>
      <vt:lpstr>PI INDEX Open House 2022</vt:lpstr>
    </vt:vector>
  </TitlesOfParts>
  <Company>INDEX-Werke GmbH &amp; Co. KG</Company>
  <LinksUpToDate>false</LinksUpToDate>
  <CharactersWithSpaces>7645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2022</dc:title>
  <dc:creator>INDEX-Werke GmbH &amp; Co. KG</dc:creator>
  <cp:lastModifiedBy>Gondek, Rainer</cp:lastModifiedBy>
  <cp:revision>2</cp:revision>
  <cp:lastPrinted>2020-02-13T12:29:00Z</cp:lastPrinted>
  <dcterms:created xsi:type="dcterms:W3CDTF">2022-03-08T16:39:00Z</dcterms:created>
  <dcterms:modified xsi:type="dcterms:W3CDTF">2022-03-08T16:39:00Z</dcterms:modified>
</cp:coreProperties>
</file>